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1B" w:rsidRPr="00E230C0" w:rsidRDefault="004B0A1B" w:rsidP="00E230C0">
      <w:pPr>
        <w:pStyle w:val="Nzev"/>
        <w:rPr>
          <w:rFonts w:eastAsia="Times New Roman"/>
          <w:sz w:val="48"/>
          <w:szCs w:val="48"/>
        </w:rPr>
      </w:pPr>
      <w:r w:rsidRPr="00E230C0">
        <w:rPr>
          <w:rFonts w:eastAsia="Times New Roman"/>
          <w:sz w:val="48"/>
          <w:szCs w:val="48"/>
        </w:rPr>
        <w:t>Pokyny pro vyplnění „</w:t>
      </w:r>
      <w:r w:rsidR="00E230C0" w:rsidRPr="00E230C0">
        <w:rPr>
          <w:rFonts w:eastAsia="Times New Roman"/>
          <w:sz w:val="48"/>
          <w:szCs w:val="48"/>
        </w:rPr>
        <w:t>Hodnocení studenta doktorského studia</w:t>
      </w:r>
      <w:r w:rsidR="002D67E0" w:rsidRPr="00E230C0">
        <w:rPr>
          <w:rFonts w:eastAsia="Times New Roman"/>
          <w:sz w:val="48"/>
          <w:szCs w:val="48"/>
        </w:rPr>
        <w:t xml:space="preserve"> za </w:t>
      </w:r>
      <w:r w:rsidR="00E230C0" w:rsidRPr="00E230C0">
        <w:rPr>
          <w:rFonts w:eastAsia="Times New Roman"/>
          <w:sz w:val="48"/>
          <w:szCs w:val="48"/>
        </w:rPr>
        <w:t xml:space="preserve">akademický </w:t>
      </w:r>
      <w:r w:rsidR="004A5B4C">
        <w:rPr>
          <w:rFonts w:eastAsia="Times New Roman"/>
          <w:sz w:val="48"/>
          <w:szCs w:val="48"/>
        </w:rPr>
        <w:t>rok 201</w:t>
      </w:r>
      <w:r w:rsidR="00615D03">
        <w:rPr>
          <w:rFonts w:eastAsia="Times New Roman"/>
          <w:sz w:val="48"/>
          <w:szCs w:val="48"/>
        </w:rPr>
        <w:t>8</w:t>
      </w:r>
      <w:r w:rsidR="004A5B4C">
        <w:rPr>
          <w:rFonts w:eastAsia="Times New Roman"/>
          <w:sz w:val="48"/>
          <w:szCs w:val="48"/>
        </w:rPr>
        <w:t>/1</w:t>
      </w:r>
      <w:r w:rsidR="00615D03">
        <w:rPr>
          <w:rFonts w:eastAsia="Times New Roman"/>
          <w:sz w:val="48"/>
          <w:szCs w:val="48"/>
        </w:rPr>
        <w:t>9</w:t>
      </w:r>
      <w:r w:rsidRPr="00E230C0">
        <w:rPr>
          <w:rFonts w:eastAsia="Times New Roman"/>
          <w:sz w:val="48"/>
          <w:szCs w:val="48"/>
        </w:rPr>
        <w:t>“</w:t>
      </w:r>
    </w:p>
    <w:p w:rsidR="004A5B4C" w:rsidRDefault="004A5B4C" w:rsidP="004A5B4C">
      <w:pPr>
        <w:jc w:val="both"/>
        <w:rPr>
          <w:lang w:eastAsia="cs-CZ"/>
        </w:rPr>
      </w:pPr>
      <w:r>
        <w:rPr>
          <w:lang w:eastAsia="cs-CZ"/>
        </w:rPr>
        <w:t xml:space="preserve">V souladu se Studijním a zkušebním řádem UTB a příslušnými vnitřními předpisy a normami FAI je nutné provést každoroční hodnocení a kontrolu plnění individuálního studijního plánu studenta doktorského studia na FAI.  </w:t>
      </w:r>
    </w:p>
    <w:p w:rsidR="004A5B4C" w:rsidRDefault="004A5B4C" w:rsidP="004A5B4C">
      <w:pPr>
        <w:jc w:val="both"/>
        <w:rPr>
          <w:lang w:eastAsia="cs-CZ"/>
        </w:rPr>
      </w:pPr>
      <w:r>
        <w:rPr>
          <w:lang w:eastAsia="cs-CZ"/>
        </w:rPr>
        <w:t xml:space="preserve">Od akademického roku 2008/2009 byl pro kvantifikaci tvůrčích, pedagogických a ostatních aktivit studentů doktorského studijního programu (DSP) používán pouze tzv. kreditní systém. Tento kreditní systém byl počínaje akademickým rokem 2017/2018 aktualizován a systém hodnocení aktivit doktoranda upraven. Hodnocení aktivity doktoranda je posuzováno nově jednak podle počtu získaných kreditů (dle kreditního systému) a jednak podle počtu získaných hodnotících bodů za dílčí aktivity.  Nový systém hodnocení se striktně dotýká studentů, kteří nastoupili ke studiu v </w:t>
      </w:r>
      <w:proofErr w:type="spellStart"/>
      <w:r>
        <w:rPr>
          <w:lang w:eastAsia="cs-CZ"/>
        </w:rPr>
        <w:t>ak</w:t>
      </w:r>
      <w:proofErr w:type="spellEnd"/>
      <w:r>
        <w:rPr>
          <w:lang w:eastAsia="cs-CZ"/>
        </w:rPr>
        <w:t>. roce 2017/18 a později.</w:t>
      </w:r>
    </w:p>
    <w:p w:rsidR="004A5B4C" w:rsidRDefault="004A5B4C" w:rsidP="004A5B4C">
      <w:pPr>
        <w:jc w:val="both"/>
        <w:rPr>
          <w:lang w:eastAsia="cs-CZ"/>
        </w:rPr>
      </w:pPr>
      <w:r>
        <w:rPr>
          <w:lang w:eastAsia="cs-CZ"/>
        </w:rPr>
        <w:t>Hodnocení dílčích aktivit studenta (počet získaných hodnotících bodů) je využíváno jako pomocného kritéria při kontrole plnění individuálního studijního plánu a také pro výpočet výše stipendia v prezenční formě studia (popřípadě žádosti o zvýšení stipendia v průběhu 1. roku studia).</w:t>
      </w:r>
    </w:p>
    <w:p w:rsidR="004A5B4C" w:rsidRDefault="004A5B4C" w:rsidP="004A5B4C">
      <w:pPr>
        <w:jc w:val="both"/>
        <w:rPr>
          <w:lang w:eastAsia="cs-CZ"/>
        </w:rPr>
      </w:pPr>
      <w:r>
        <w:rPr>
          <w:lang w:eastAsia="cs-CZ"/>
        </w:rPr>
        <w:t>Následující tabulky jsou tedy povinni vyplnit všichni studenti doktorského studia na FAI. Studenti, kteří nastoupili ke studiu dříve než v akademickém roce 2017/2018, nemusí vyplňovat vědecko-odbornou část kreditového systému. Počet hodnotících bodů v minulých letech odpovídá počtu kreditů získaných v předešlých letech.</w:t>
      </w:r>
      <w:r w:rsidR="0003512F">
        <w:rPr>
          <w:lang w:eastAsia="cs-CZ"/>
        </w:rPr>
        <w:t xml:space="preserve"> </w:t>
      </w:r>
      <w:r>
        <w:rPr>
          <w:lang w:eastAsia="cs-CZ"/>
        </w:rPr>
        <w:t>Tato tabulka byla kompletně inovována a modifikována v souladu se změnou systému hodnocení doktorandů. Z tohoto důvodu se i přes několikastupňovou kontrolu může objevit nějaká chyba. Pokud najdete nějakou chybu nebo nesrovnalost, mailujte prosím na mou adresu chramcov@utb.cz. Budu se snažit co nejdříve sjednat nápravu.</w:t>
      </w:r>
    </w:p>
    <w:p w:rsidR="0003512F" w:rsidRDefault="00E230C0" w:rsidP="00E230C0">
      <w:pPr>
        <w:jc w:val="both"/>
        <w:rPr>
          <w:b/>
          <w:color w:val="FF0000"/>
          <w:lang w:eastAsia="cs-CZ"/>
        </w:rPr>
      </w:pPr>
      <w:r>
        <w:rPr>
          <w:lang w:eastAsia="cs-CZ"/>
        </w:rPr>
        <w:t>Vyplněnou tabulku vytiskněte (pokud máte některé strany nulové (prázdné), tak tyto listy nemusíte) a nechejte podepsat příslušnými odpovědnými osobami.</w:t>
      </w:r>
      <w:r w:rsidR="004A5B4C" w:rsidRPr="004A5B4C">
        <w:rPr>
          <w:lang w:eastAsia="cs-CZ"/>
        </w:rPr>
        <w:t xml:space="preserve"> </w:t>
      </w:r>
      <w:r w:rsidR="004A5B4C">
        <w:rPr>
          <w:lang w:eastAsia="cs-CZ"/>
        </w:rPr>
        <w:t>Podepsané materiály vložte do závěsné složky.</w:t>
      </w:r>
      <w:r w:rsidR="004A5B4C" w:rsidRPr="004A5B4C">
        <w:rPr>
          <w:lang w:eastAsia="cs-CZ"/>
        </w:rPr>
        <w:t xml:space="preserve"> </w:t>
      </w:r>
      <w:r w:rsidR="004A5B4C">
        <w:rPr>
          <w:lang w:eastAsia="cs-CZ"/>
        </w:rPr>
        <w:t>Připravte publikační složku (</w:t>
      </w:r>
      <w:proofErr w:type="spellStart"/>
      <w:r w:rsidR="004A5B4C">
        <w:rPr>
          <w:lang w:eastAsia="cs-CZ"/>
        </w:rPr>
        <w:t>oxerované</w:t>
      </w:r>
      <w:proofErr w:type="spellEnd"/>
      <w:r w:rsidR="004A5B4C">
        <w:rPr>
          <w:lang w:eastAsia="cs-CZ"/>
        </w:rPr>
        <w:t xml:space="preserve"> separáty prací).</w:t>
      </w:r>
      <w:r w:rsidR="004A5B4C" w:rsidRPr="004A5B4C">
        <w:rPr>
          <w:lang w:eastAsia="cs-CZ"/>
        </w:rPr>
        <w:t xml:space="preserve"> </w:t>
      </w:r>
      <w:r w:rsidR="004A5B4C" w:rsidRPr="004A5B4C">
        <w:rPr>
          <w:b/>
          <w:color w:val="FF0000"/>
          <w:lang w:eastAsia="cs-CZ"/>
        </w:rPr>
        <w:t xml:space="preserve">Vše odevzdejte do </w:t>
      </w:r>
      <w:r w:rsidR="004A5B4C" w:rsidRPr="0003512F">
        <w:rPr>
          <w:b/>
          <w:color w:val="FF0000"/>
          <w:u w:val="single"/>
          <w:lang w:eastAsia="cs-CZ"/>
        </w:rPr>
        <w:t>1</w:t>
      </w:r>
      <w:r w:rsidR="00615D03">
        <w:rPr>
          <w:b/>
          <w:color w:val="FF0000"/>
          <w:u w:val="single"/>
          <w:lang w:eastAsia="cs-CZ"/>
        </w:rPr>
        <w:t>5</w:t>
      </w:r>
      <w:r w:rsidR="004A5B4C" w:rsidRPr="0003512F">
        <w:rPr>
          <w:b/>
          <w:color w:val="FF0000"/>
          <w:u w:val="single"/>
          <w:lang w:eastAsia="cs-CZ"/>
        </w:rPr>
        <w:t>. 9. 201</w:t>
      </w:r>
      <w:r w:rsidR="00615D03">
        <w:rPr>
          <w:b/>
          <w:color w:val="FF0000"/>
          <w:u w:val="single"/>
          <w:lang w:eastAsia="cs-CZ"/>
        </w:rPr>
        <w:t>9</w:t>
      </w:r>
      <w:r w:rsidR="004A5B4C" w:rsidRPr="004A5B4C">
        <w:rPr>
          <w:b/>
          <w:color w:val="FF0000"/>
          <w:lang w:eastAsia="cs-CZ"/>
        </w:rPr>
        <w:t xml:space="preserve"> na Oddělení tvůrčích činností paní Veronice Vysloužilové. </w:t>
      </w:r>
      <w:proofErr w:type="spellStart"/>
      <w:r w:rsidR="004A5B4C" w:rsidRPr="004A5B4C">
        <w:rPr>
          <w:b/>
          <w:color w:val="FF0000"/>
          <w:lang w:eastAsia="cs-CZ"/>
        </w:rPr>
        <w:t>Excelovskou</w:t>
      </w:r>
      <w:proofErr w:type="spellEnd"/>
      <w:r w:rsidR="004A5B4C" w:rsidRPr="004A5B4C">
        <w:rPr>
          <w:b/>
          <w:color w:val="FF0000"/>
          <w:lang w:eastAsia="cs-CZ"/>
        </w:rPr>
        <w:t xml:space="preserve"> tabulku zašlete také elektronicky na chramcov@utb.cz a vyslouzilova@utb.cz se Subjektem mailu (Předmětem) "Hodnocení </w:t>
      </w:r>
      <w:proofErr w:type="gramStart"/>
      <w:r w:rsidR="004A5B4C" w:rsidRPr="004A5B4C">
        <w:rPr>
          <w:b/>
          <w:color w:val="FF0000"/>
          <w:lang w:eastAsia="cs-CZ"/>
        </w:rPr>
        <w:t>doktoranda - Příjmení</w:t>
      </w:r>
      <w:proofErr w:type="gramEnd"/>
      <w:r w:rsidR="004A5B4C" w:rsidRPr="004A5B4C">
        <w:rPr>
          <w:b/>
          <w:color w:val="FF0000"/>
          <w:lang w:eastAsia="cs-CZ"/>
        </w:rPr>
        <w:t xml:space="preserve"> - forma studia".</w:t>
      </w:r>
      <w:r w:rsidR="0003512F">
        <w:rPr>
          <w:b/>
          <w:color w:val="FF0000"/>
          <w:lang w:eastAsia="cs-CZ"/>
        </w:rPr>
        <w:t xml:space="preserve"> </w:t>
      </w:r>
    </w:p>
    <w:p w:rsidR="00E230C0" w:rsidRPr="00F44267" w:rsidRDefault="00E230C0" w:rsidP="00E230C0">
      <w:pPr>
        <w:jc w:val="both"/>
        <w:rPr>
          <w:b/>
          <w:lang w:eastAsia="cs-CZ"/>
        </w:rPr>
      </w:pPr>
      <w:r w:rsidRPr="00F44267">
        <w:rPr>
          <w:b/>
          <w:lang w:eastAsia="cs-CZ"/>
        </w:rPr>
        <w:t xml:space="preserve">Důsledně žádám o dodržení termínu, protože data budou ihned využita pro </w:t>
      </w:r>
      <w:r w:rsidR="004A5B4C">
        <w:rPr>
          <w:b/>
          <w:lang w:eastAsia="cs-CZ"/>
        </w:rPr>
        <w:t xml:space="preserve">každoroční hodnocení doktorandů oborovou radou a </w:t>
      </w:r>
      <w:r w:rsidRPr="00F44267">
        <w:rPr>
          <w:b/>
          <w:lang w:eastAsia="cs-CZ"/>
        </w:rPr>
        <w:t xml:space="preserve">výpočet výše stipendia. V případě neodevzdání v daném termínu Vám </w:t>
      </w:r>
      <w:r w:rsidR="004A5B4C">
        <w:rPr>
          <w:b/>
          <w:lang w:eastAsia="cs-CZ"/>
        </w:rPr>
        <w:t xml:space="preserve">může být ukončeno </w:t>
      </w:r>
      <w:proofErr w:type="gramStart"/>
      <w:r w:rsidR="004A5B4C">
        <w:rPr>
          <w:b/>
          <w:lang w:eastAsia="cs-CZ"/>
        </w:rPr>
        <w:t>studium</w:t>
      </w:r>
      <w:proofErr w:type="gramEnd"/>
      <w:r w:rsidR="004A5B4C">
        <w:rPr>
          <w:b/>
          <w:lang w:eastAsia="cs-CZ"/>
        </w:rPr>
        <w:t xml:space="preserve"> popřípadě nebude vyplá</w:t>
      </w:r>
      <w:r w:rsidRPr="00F44267">
        <w:rPr>
          <w:b/>
          <w:lang w:eastAsia="cs-CZ"/>
        </w:rPr>
        <w:t>ceno stipendium.</w:t>
      </w:r>
    </w:p>
    <w:p w:rsidR="00E230C0" w:rsidRDefault="00E230C0" w:rsidP="00E230C0">
      <w:pPr>
        <w:jc w:val="both"/>
        <w:rPr>
          <w:lang w:eastAsia="cs-CZ"/>
        </w:rPr>
      </w:pPr>
      <w:r>
        <w:rPr>
          <w:lang w:eastAsia="cs-CZ"/>
        </w:rPr>
        <w:t>Přeji hodně klidu při vyplňování a věřím, že jste v loňském akademickém roce nasbírali mnoho kreditů</w:t>
      </w:r>
      <w:r w:rsidR="004A5B4C">
        <w:rPr>
          <w:lang w:eastAsia="cs-CZ"/>
        </w:rPr>
        <w:t xml:space="preserve"> a hodnotících bodů</w:t>
      </w:r>
      <w:r>
        <w:rPr>
          <w:lang w:eastAsia="cs-CZ"/>
        </w:rPr>
        <w:t>.</w:t>
      </w:r>
    </w:p>
    <w:p w:rsidR="00E73FDC" w:rsidRDefault="00FC458A" w:rsidP="0003512F">
      <w:pPr>
        <w:spacing w:after="0" w:line="240" w:lineRule="auto"/>
        <w:ind w:left="4247" w:firstLine="709"/>
        <w:jc w:val="both"/>
        <w:rPr>
          <w:lang w:eastAsia="cs-CZ"/>
        </w:rPr>
      </w:pPr>
      <w:r>
        <w:rPr>
          <w:lang w:eastAsia="cs-CZ"/>
        </w:rPr>
        <w:t xml:space="preserve">doc. </w:t>
      </w:r>
      <w:r w:rsidR="00E230C0">
        <w:rPr>
          <w:lang w:eastAsia="cs-CZ"/>
        </w:rPr>
        <w:t>Ing. Bronislav Chramcov, Ph.D.</w:t>
      </w:r>
    </w:p>
    <w:p w:rsidR="00E230C0" w:rsidRDefault="00E230C0" w:rsidP="0003512F">
      <w:pPr>
        <w:spacing w:after="0" w:line="240" w:lineRule="auto"/>
        <w:ind w:left="3538" w:firstLine="709"/>
        <w:jc w:val="both"/>
        <w:rPr>
          <w:lang w:eastAsia="cs-CZ"/>
        </w:rPr>
      </w:pPr>
      <w:r>
        <w:rPr>
          <w:lang w:eastAsia="cs-CZ"/>
        </w:rPr>
        <w:t>proděkan pro tvůrčí činnosti a doktorské studium"</w:t>
      </w:r>
    </w:p>
    <w:p w:rsidR="00E230C0" w:rsidRPr="00075F20" w:rsidRDefault="00E73FDC" w:rsidP="00E73FDC">
      <w:pPr>
        <w:pStyle w:val="Nadpis1"/>
        <w:numPr>
          <w:ilvl w:val="0"/>
          <w:numId w:val="0"/>
        </w:numPr>
        <w:pBdr>
          <w:bottom w:val="single" w:sz="4" w:space="1" w:color="auto"/>
        </w:pBdr>
        <w:ind w:left="720" w:hanging="720"/>
        <w:rPr>
          <w:sz w:val="40"/>
          <w:szCs w:val="40"/>
        </w:rPr>
      </w:pPr>
      <w:r w:rsidRPr="00075F20">
        <w:rPr>
          <w:sz w:val="40"/>
          <w:szCs w:val="40"/>
        </w:rPr>
        <w:lastRenderedPageBreak/>
        <w:t>R</w:t>
      </w:r>
      <w:r w:rsidR="00E230C0" w:rsidRPr="00075F20">
        <w:rPr>
          <w:sz w:val="40"/>
          <w:szCs w:val="40"/>
        </w:rPr>
        <w:t>ady</w:t>
      </w:r>
      <w:r w:rsidRPr="00075F20">
        <w:rPr>
          <w:sz w:val="40"/>
          <w:szCs w:val="40"/>
        </w:rPr>
        <w:t xml:space="preserve"> pro vyplnění tabulky</w:t>
      </w:r>
      <w:r w:rsidR="00E230C0" w:rsidRPr="00075F20">
        <w:rPr>
          <w:sz w:val="40"/>
          <w:szCs w:val="40"/>
        </w:rPr>
        <w:t>, popř. co dokladovat.</w:t>
      </w:r>
    </w:p>
    <w:p w:rsidR="004046E4" w:rsidRDefault="004046E4" w:rsidP="004046E4">
      <w:pPr>
        <w:pStyle w:val="Odstavecseseznamem"/>
        <w:jc w:val="both"/>
        <w:rPr>
          <w:lang w:eastAsia="cs-CZ"/>
        </w:rPr>
      </w:pPr>
    </w:p>
    <w:p w:rsidR="00E230C0" w:rsidRDefault="00E230C0" w:rsidP="00E11645">
      <w:pPr>
        <w:pStyle w:val="Odstavecseseznamem"/>
        <w:numPr>
          <w:ilvl w:val="0"/>
          <w:numId w:val="11"/>
        </w:numPr>
        <w:jc w:val="both"/>
        <w:rPr>
          <w:lang w:eastAsia="cs-CZ"/>
        </w:rPr>
      </w:pPr>
      <w:r>
        <w:rPr>
          <w:lang w:eastAsia="cs-CZ"/>
        </w:rPr>
        <w:t>V celé</w:t>
      </w:r>
      <w:r w:rsidR="00E11645">
        <w:rPr>
          <w:lang w:eastAsia="cs-CZ"/>
        </w:rPr>
        <w:t>m</w:t>
      </w:r>
      <w:r>
        <w:rPr>
          <w:lang w:eastAsia="cs-CZ"/>
        </w:rPr>
        <w:t xml:space="preserve"> </w:t>
      </w:r>
      <w:r w:rsidR="00E11645">
        <w:rPr>
          <w:lang w:eastAsia="cs-CZ"/>
        </w:rPr>
        <w:t xml:space="preserve">souboru </w:t>
      </w:r>
      <w:r>
        <w:rPr>
          <w:lang w:eastAsia="cs-CZ"/>
        </w:rPr>
        <w:t>se vyplňují jen žlutá pole nebo výběrové seznamy. Ostatní jsou předepsaná nebo se dopočítávají či vyplňují sama.</w:t>
      </w:r>
    </w:p>
    <w:p w:rsidR="00E230C0" w:rsidRDefault="00E230C0" w:rsidP="00E11645">
      <w:pPr>
        <w:pStyle w:val="Odstavecseseznamem"/>
        <w:numPr>
          <w:ilvl w:val="0"/>
          <w:numId w:val="11"/>
        </w:numPr>
        <w:jc w:val="both"/>
        <w:rPr>
          <w:lang w:eastAsia="cs-CZ"/>
        </w:rPr>
      </w:pPr>
      <w:r>
        <w:rPr>
          <w:lang w:eastAsia="cs-CZ"/>
        </w:rPr>
        <w:t>U některých buněk jsou červené rožky, což znamená, že když nad buňku najedete myší, objeví se Vám nápověda (nejčastěji se vzorem, jak vyplnit).</w:t>
      </w:r>
    </w:p>
    <w:p w:rsidR="00E11645" w:rsidRDefault="00E11645" w:rsidP="00E11645">
      <w:pPr>
        <w:pStyle w:val="Nadpis2"/>
      </w:pPr>
      <w:r>
        <w:t>List „Titulní strana“</w:t>
      </w:r>
    </w:p>
    <w:p w:rsidR="0003512F" w:rsidRDefault="00E230C0" w:rsidP="00E11645">
      <w:pPr>
        <w:pStyle w:val="Odstavecseseznamem"/>
        <w:numPr>
          <w:ilvl w:val="0"/>
          <w:numId w:val="12"/>
        </w:numPr>
        <w:jc w:val="both"/>
        <w:rPr>
          <w:lang w:eastAsia="cs-CZ"/>
        </w:rPr>
      </w:pPr>
      <w:r>
        <w:rPr>
          <w:lang w:eastAsia="cs-CZ"/>
        </w:rPr>
        <w:t>Na</w:t>
      </w:r>
      <w:r w:rsidR="0003512F">
        <w:rPr>
          <w:lang w:eastAsia="cs-CZ"/>
        </w:rPr>
        <w:t xml:space="preserve"> titulní straně vyplňte jméno, školitele, téma disertační práce, formu studia a ročník. Pokud chcete změnit téma disertační práce, uveďte nový název a vyberte v menu „Změna tématu“ volbu ANO.</w:t>
      </w:r>
    </w:p>
    <w:p w:rsidR="00E230C0" w:rsidRDefault="00E230C0" w:rsidP="00E11645">
      <w:pPr>
        <w:pStyle w:val="Odstavecseseznamem"/>
        <w:numPr>
          <w:ilvl w:val="0"/>
          <w:numId w:val="12"/>
        </w:numPr>
        <w:jc w:val="both"/>
        <w:rPr>
          <w:lang w:eastAsia="cs-CZ"/>
        </w:rPr>
      </w:pPr>
      <w:r>
        <w:rPr>
          <w:lang w:eastAsia="cs-CZ"/>
        </w:rPr>
        <w:t>zkoušky absolvované (popřípadě naplánované dle individuálního studijního plánu) v průběhu Vašeho studia. Ty, které jste absolvovali v průběhu</w:t>
      </w:r>
      <w:r w:rsidR="00E73FDC">
        <w:rPr>
          <w:lang w:eastAsia="cs-CZ"/>
        </w:rPr>
        <w:t xml:space="preserve"> hodnoceného </w:t>
      </w:r>
      <w:proofErr w:type="spellStart"/>
      <w:r w:rsidR="00E73FDC">
        <w:rPr>
          <w:lang w:eastAsia="cs-CZ"/>
        </w:rPr>
        <w:t>ak</w:t>
      </w:r>
      <w:proofErr w:type="spellEnd"/>
      <w:r w:rsidR="00E73FDC">
        <w:rPr>
          <w:lang w:eastAsia="cs-CZ"/>
        </w:rPr>
        <w:t>. roku, označte "</w:t>
      </w:r>
      <w:proofErr w:type="spellStart"/>
      <w:r w:rsidR="00E73FDC">
        <w:rPr>
          <w:lang w:eastAsia="cs-CZ"/>
        </w:rPr>
        <w:t>fajkou</w:t>
      </w:r>
      <w:proofErr w:type="spellEnd"/>
      <w:r w:rsidR="00E73FDC">
        <w:rPr>
          <w:lang w:eastAsia="cs-CZ"/>
        </w:rPr>
        <w:t>"</w:t>
      </w:r>
      <w:r>
        <w:rPr>
          <w:lang w:eastAsia="cs-CZ"/>
        </w:rPr>
        <w:t>, aby se Vám za ně započítaly kredity.</w:t>
      </w:r>
    </w:p>
    <w:p w:rsidR="00FC458A" w:rsidRDefault="00FC458A" w:rsidP="00E11645">
      <w:pPr>
        <w:pStyle w:val="Odstavecseseznamem"/>
        <w:numPr>
          <w:ilvl w:val="0"/>
          <w:numId w:val="12"/>
        </w:numPr>
        <w:jc w:val="both"/>
        <w:rPr>
          <w:lang w:eastAsia="cs-CZ"/>
        </w:rPr>
      </w:pPr>
      <w:r>
        <w:rPr>
          <w:lang w:eastAsia="cs-CZ"/>
        </w:rPr>
        <w:t>Doplňte počet kreditů</w:t>
      </w:r>
      <w:r w:rsidR="0003512F">
        <w:rPr>
          <w:lang w:eastAsia="cs-CZ"/>
        </w:rPr>
        <w:t xml:space="preserve"> (hodnotících bodů)</w:t>
      </w:r>
      <w:r>
        <w:rPr>
          <w:lang w:eastAsia="cs-CZ"/>
        </w:rPr>
        <w:t>, které jste získali za předešlé studium. Pokud neznáte přesnou hodnotu, kontaktujte paní Vysloužilovou popřípadě proděkana.</w:t>
      </w:r>
    </w:p>
    <w:p w:rsidR="00962A75" w:rsidRDefault="00E73FDC" w:rsidP="00E11645">
      <w:pPr>
        <w:pStyle w:val="Odstavecseseznamem"/>
        <w:numPr>
          <w:ilvl w:val="0"/>
          <w:numId w:val="12"/>
        </w:numPr>
        <w:jc w:val="both"/>
        <w:rPr>
          <w:lang w:eastAsia="cs-CZ"/>
        </w:rPr>
      </w:pPr>
      <w:r>
        <w:rPr>
          <w:lang w:eastAsia="cs-CZ"/>
        </w:rPr>
        <w:t>Vyplňte</w:t>
      </w:r>
      <w:r w:rsidR="00E230C0">
        <w:rPr>
          <w:lang w:eastAsia="cs-CZ"/>
        </w:rPr>
        <w:t xml:space="preserve"> </w:t>
      </w:r>
      <w:r>
        <w:rPr>
          <w:lang w:eastAsia="cs-CZ"/>
        </w:rPr>
        <w:t>„</w:t>
      </w:r>
      <w:r w:rsidR="00E230C0">
        <w:rPr>
          <w:lang w:eastAsia="cs-CZ"/>
        </w:rPr>
        <w:t>Stanovisko doktoranda</w:t>
      </w:r>
      <w:r>
        <w:rPr>
          <w:lang w:eastAsia="cs-CZ"/>
        </w:rPr>
        <w:t>“</w:t>
      </w:r>
      <w:r w:rsidR="00E230C0">
        <w:rPr>
          <w:lang w:eastAsia="cs-CZ"/>
        </w:rPr>
        <w:t xml:space="preserve">. </w:t>
      </w:r>
    </w:p>
    <w:p w:rsidR="00572196" w:rsidRDefault="00572196" w:rsidP="00572196">
      <w:pPr>
        <w:pStyle w:val="Nadpis2"/>
      </w:pPr>
      <w:r>
        <w:t>List „Vyjádření školitele“</w:t>
      </w:r>
    </w:p>
    <w:p w:rsidR="00962A75" w:rsidRDefault="00962A75" w:rsidP="00E11645">
      <w:pPr>
        <w:pStyle w:val="Odstavecseseznamem"/>
        <w:numPr>
          <w:ilvl w:val="0"/>
          <w:numId w:val="12"/>
        </w:numPr>
        <w:jc w:val="both"/>
        <w:rPr>
          <w:lang w:eastAsia="cs-CZ"/>
        </w:rPr>
      </w:pPr>
      <w:r>
        <w:rPr>
          <w:lang w:eastAsia="cs-CZ"/>
        </w:rPr>
        <w:t xml:space="preserve">Stanovisko školitele nevyplňujete. </w:t>
      </w:r>
      <w:r w:rsidR="00E230C0">
        <w:rPr>
          <w:lang w:eastAsia="cs-CZ"/>
        </w:rPr>
        <w:t xml:space="preserve">Stanovisko školitele připíše Váš školitel ve chvíli, kdy mu celou tabulku donesete na podpis. </w:t>
      </w:r>
    </w:p>
    <w:p w:rsidR="0003512F" w:rsidRDefault="0003512F" w:rsidP="00E11645">
      <w:pPr>
        <w:pStyle w:val="Odstavecseseznamem"/>
        <w:numPr>
          <w:ilvl w:val="0"/>
          <w:numId w:val="12"/>
        </w:numPr>
        <w:jc w:val="both"/>
        <w:rPr>
          <w:lang w:eastAsia="cs-CZ"/>
        </w:rPr>
      </w:pPr>
      <w:r>
        <w:rPr>
          <w:lang w:eastAsia="cs-CZ"/>
        </w:rPr>
        <w:t>Pokud máte výhrady ke stanovisku školitele, napište své vyjádření.</w:t>
      </w:r>
    </w:p>
    <w:p w:rsidR="00E230C0" w:rsidRDefault="00E230C0" w:rsidP="00E11645">
      <w:pPr>
        <w:pStyle w:val="Odstavecseseznamem"/>
        <w:numPr>
          <w:ilvl w:val="0"/>
          <w:numId w:val="12"/>
        </w:numPr>
        <w:jc w:val="both"/>
        <w:rPr>
          <w:lang w:eastAsia="cs-CZ"/>
        </w:rPr>
      </w:pPr>
      <w:r>
        <w:rPr>
          <w:lang w:eastAsia="cs-CZ"/>
        </w:rPr>
        <w:t>Stanovisko</w:t>
      </w:r>
      <w:r w:rsidR="00572196">
        <w:rPr>
          <w:lang w:eastAsia="cs-CZ"/>
        </w:rPr>
        <w:t xml:space="preserve"> oborové rady doktorského studijního programu (OR DSP) a</w:t>
      </w:r>
      <w:r>
        <w:rPr>
          <w:lang w:eastAsia="cs-CZ"/>
        </w:rPr>
        <w:t xml:space="preserve"> školicího pracoviště doplňuje </w:t>
      </w:r>
      <w:r w:rsidR="00572196">
        <w:rPr>
          <w:lang w:eastAsia="cs-CZ"/>
        </w:rPr>
        <w:t xml:space="preserve">předseda OR </w:t>
      </w:r>
      <w:proofErr w:type="gramStart"/>
      <w:r w:rsidR="00572196">
        <w:rPr>
          <w:lang w:eastAsia="cs-CZ"/>
        </w:rPr>
        <w:t>DSP</w:t>
      </w:r>
      <w:proofErr w:type="gramEnd"/>
      <w:r w:rsidR="00572196">
        <w:rPr>
          <w:lang w:eastAsia="cs-CZ"/>
        </w:rPr>
        <w:t xml:space="preserve"> respektive </w:t>
      </w:r>
      <w:r>
        <w:rPr>
          <w:lang w:eastAsia="cs-CZ"/>
        </w:rPr>
        <w:t xml:space="preserve">pan děkan po </w:t>
      </w:r>
      <w:r w:rsidR="00572196">
        <w:rPr>
          <w:lang w:eastAsia="cs-CZ"/>
        </w:rPr>
        <w:t>zasedání OR DSP</w:t>
      </w:r>
      <w:r>
        <w:rPr>
          <w:lang w:eastAsia="cs-CZ"/>
        </w:rPr>
        <w:t>.</w:t>
      </w:r>
    </w:p>
    <w:p w:rsidR="0003512F" w:rsidRDefault="0003512F" w:rsidP="0003512F">
      <w:pPr>
        <w:pStyle w:val="Nadpis2"/>
      </w:pPr>
      <w:r>
        <w:t xml:space="preserve">List „Kreditová část“ </w:t>
      </w:r>
    </w:p>
    <w:p w:rsidR="0003512F" w:rsidRDefault="0003512F" w:rsidP="0003512F">
      <w:pPr>
        <w:pStyle w:val="Odstavecseseznamem"/>
        <w:numPr>
          <w:ilvl w:val="0"/>
          <w:numId w:val="12"/>
        </w:numPr>
        <w:jc w:val="both"/>
        <w:rPr>
          <w:lang w:eastAsia="cs-CZ"/>
        </w:rPr>
      </w:pPr>
      <w:r>
        <w:rPr>
          <w:lang w:eastAsia="cs-CZ"/>
        </w:rPr>
        <w:t xml:space="preserve">Doplňte zkoušky absolvované (popřípadě naplánované dle individuálního studijního plánu) v průběhu Vašeho studia. Ty, které jste absolvovali v průběhu hodnoceného </w:t>
      </w:r>
      <w:proofErr w:type="spellStart"/>
      <w:r>
        <w:rPr>
          <w:lang w:eastAsia="cs-CZ"/>
        </w:rPr>
        <w:t>ak</w:t>
      </w:r>
      <w:proofErr w:type="spellEnd"/>
      <w:r>
        <w:rPr>
          <w:lang w:eastAsia="cs-CZ"/>
        </w:rPr>
        <w:t>. roku, označte "</w:t>
      </w:r>
      <w:proofErr w:type="spellStart"/>
      <w:r>
        <w:rPr>
          <w:lang w:eastAsia="cs-CZ"/>
        </w:rPr>
        <w:t>fajkou</w:t>
      </w:r>
      <w:proofErr w:type="spellEnd"/>
      <w:r>
        <w:rPr>
          <w:lang w:eastAsia="cs-CZ"/>
        </w:rPr>
        <w:t>", aby se Vám za ně započítaly kredity.</w:t>
      </w:r>
    </w:p>
    <w:p w:rsidR="0003512F" w:rsidRDefault="0003512F" w:rsidP="0003512F">
      <w:pPr>
        <w:pStyle w:val="Odstavecseseznamem"/>
        <w:numPr>
          <w:ilvl w:val="0"/>
          <w:numId w:val="12"/>
        </w:numPr>
        <w:jc w:val="both"/>
        <w:rPr>
          <w:lang w:eastAsia="cs-CZ"/>
        </w:rPr>
      </w:pPr>
      <w:r>
        <w:rPr>
          <w:lang w:eastAsia="cs-CZ"/>
        </w:rPr>
        <w:t xml:space="preserve">Pokud již znáte název </w:t>
      </w:r>
      <w:r w:rsidR="00F4633C">
        <w:rPr>
          <w:lang w:eastAsia="cs-CZ"/>
        </w:rPr>
        <w:t>práce ke státní doktorské zkoušce, doplňte (nemusí se jednat o úplně stejný název jako je téma disertační práce)</w:t>
      </w:r>
    </w:p>
    <w:p w:rsidR="00F4633C" w:rsidRDefault="00F4633C" w:rsidP="0003512F">
      <w:pPr>
        <w:pStyle w:val="Odstavecseseznamem"/>
        <w:numPr>
          <w:ilvl w:val="0"/>
          <w:numId w:val="12"/>
        </w:numPr>
        <w:jc w:val="both"/>
        <w:rPr>
          <w:lang w:eastAsia="cs-CZ"/>
        </w:rPr>
      </w:pPr>
      <w:r>
        <w:rPr>
          <w:lang w:eastAsia="cs-CZ"/>
        </w:rPr>
        <w:t>V případě že již respektujete novou formu kreditového systému, doplňte uznané vědecko-odborné aktivity.</w:t>
      </w:r>
    </w:p>
    <w:p w:rsidR="00F4633C" w:rsidRDefault="00F4633C" w:rsidP="00F4633C">
      <w:pPr>
        <w:pStyle w:val="Odstavecseseznamem"/>
        <w:numPr>
          <w:ilvl w:val="0"/>
          <w:numId w:val="12"/>
        </w:numPr>
        <w:jc w:val="both"/>
        <w:rPr>
          <w:lang w:eastAsia="cs-CZ"/>
        </w:rPr>
      </w:pPr>
      <w:r>
        <w:rPr>
          <w:lang w:eastAsia="cs-CZ"/>
        </w:rPr>
        <w:t>Pokud již znáte název disertační práce k obhajobě, doplňte (nemusí se jednat o úplně stejný název jako je téma disertační práce)</w:t>
      </w:r>
    </w:p>
    <w:p w:rsidR="00075F20" w:rsidRDefault="00962A75" w:rsidP="00075F20">
      <w:pPr>
        <w:pStyle w:val="Nadpis2"/>
      </w:pPr>
      <w:r>
        <w:t>List „</w:t>
      </w:r>
      <w:r w:rsidR="00F4633C">
        <w:t>Hodnotící body</w:t>
      </w:r>
      <w:r>
        <w:t>“</w:t>
      </w:r>
      <w:r w:rsidR="00E230C0">
        <w:t xml:space="preserve"> </w:t>
      </w:r>
    </w:p>
    <w:p w:rsidR="00E230C0" w:rsidRDefault="00E230C0" w:rsidP="00075F20">
      <w:pPr>
        <w:rPr>
          <w:lang w:eastAsia="cs-CZ"/>
        </w:rPr>
      </w:pPr>
      <w:r w:rsidRPr="00075F20">
        <w:t>nevyplňujete, je jen sumarizační.</w:t>
      </w:r>
    </w:p>
    <w:p w:rsidR="00962A75" w:rsidRDefault="00962A75" w:rsidP="00E11645">
      <w:pPr>
        <w:pStyle w:val="Nadpis2"/>
      </w:pPr>
      <w:r>
        <w:t>List“ Tvůrčí aktivity“</w:t>
      </w:r>
    </w:p>
    <w:p w:rsidR="00962A75" w:rsidRDefault="00E230C0" w:rsidP="00962A75">
      <w:pPr>
        <w:pStyle w:val="Odstavecseseznamem"/>
        <w:numPr>
          <w:ilvl w:val="0"/>
          <w:numId w:val="13"/>
        </w:numPr>
      </w:pPr>
      <w:r>
        <w:t xml:space="preserve">U publikačních aktivit (časopisy, knihy, konference) citujte své dílo, dle vzoru nebo dle citační normy. </w:t>
      </w:r>
    </w:p>
    <w:p w:rsidR="00962A75" w:rsidRDefault="00E230C0" w:rsidP="00962A75">
      <w:pPr>
        <w:pStyle w:val="Odstavecseseznamem"/>
        <w:numPr>
          <w:ilvl w:val="0"/>
          <w:numId w:val="13"/>
        </w:numPr>
      </w:pPr>
      <w:r>
        <w:t xml:space="preserve">Uvádějte mentální podíl popřípadě </w:t>
      </w:r>
      <w:r w:rsidR="00FC458A">
        <w:t>kreditovou sazbu dle instrukcí níže.</w:t>
      </w:r>
    </w:p>
    <w:p w:rsidR="00075F20" w:rsidRDefault="00E230C0" w:rsidP="00075F20">
      <w:pPr>
        <w:pStyle w:val="Odstavecseseznamem"/>
        <w:numPr>
          <w:ilvl w:val="0"/>
          <w:numId w:val="13"/>
        </w:numPr>
        <w:jc w:val="both"/>
        <w:rPr>
          <w:lang w:eastAsia="cs-CZ"/>
        </w:rPr>
      </w:pPr>
      <w:r>
        <w:lastRenderedPageBreak/>
        <w:t>Každou publikaci je třeba doložit xerokopií příspěvku (první strana knihy nebo sborníku a pak všechny strany článku).</w:t>
      </w:r>
      <w:r w:rsidR="00E11645" w:rsidRPr="00E11645">
        <w:t xml:space="preserve"> </w:t>
      </w:r>
    </w:p>
    <w:p w:rsidR="00075F20" w:rsidRDefault="00075F20" w:rsidP="00075F20">
      <w:pPr>
        <w:pStyle w:val="Odstavecseseznamem"/>
        <w:numPr>
          <w:ilvl w:val="0"/>
          <w:numId w:val="13"/>
        </w:numPr>
        <w:jc w:val="both"/>
        <w:rPr>
          <w:lang w:eastAsia="cs-CZ"/>
        </w:rPr>
      </w:pPr>
      <w:r>
        <w:rPr>
          <w:lang w:eastAsia="cs-CZ"/>
        </w:rPr>
        <w:t>Na listu "Tvůrčí aktivity" lze v případě potřeby přidat řádky v jednotlivých kategoriích. Pro přidání řádku použijte kombinace kláves "CTRL + a". Pro správnou funkci této kombinace je třeba, abyste se nacházeli (byla aktivní buňka) v posledním řádku kategorie, kam chcete řádek přidat.</w:t>
      </w:r>
    </w:p>
    <w:p w:rsidR="00962A75" w:rsidRDefault="00962A75" w:rsidP="00962A75">
      <w:pPr>
        <w:pStyle w:val="Nadpis3"/>
      </w:pPr>
      <w:r>
        <w:t>Specifika některých publikačních výstupů</w:t>
      </w:r>
    </w:p>
    <w:p w:rsidR="00E11645" w:rsidRDefault="00E11645" w:rsidP="00962A75">
      <w:pPr>
        <w:pStyle w:val="Nadpis4"/>
      </w:pPr>
      <w:r>
        <w:t>Impaktované časopisy</w:t>
      </w:r>
    </w:p>
    <w:p w:rsidR="009B1C7F" w:rsidRDefault="009B1C7F" w:rsidP="00FC458A">
      <w:pPr>
        <w:jc w:val="both"/>
      </w:pPr>
      <w:r w:rsidRPr="009B1C7F">
        <w:t xml:space="preserve">V případě impaktovaného časopisu je třeba do výkazu uvést normované pořadí časopisu v daném oboru. </w:t>
      </w:r>
      <w:r>
        <w:t>Normované pořadí</w:t>
      </w:r>
      <w:r w:rsidR="00FC458A">
        <w:t xml:space="preserve"> se určuje v závislosti na umístění časopisu v dané oborové kategorii (</w:t>
      </w:r>
      <w:proofErr w:type="spellStart"/>
      <w:r w:rsidR="00FC458A">
        <w:t>subject</w:t>
      </w:r>
      <w:proofErr w:type="spellEnd"/>
      <w:r w:rsidR="00FC458A">
        <w:t xml:space="preserve"> </w:t>
      </w:r>
      <w:proofErr w:type="spellStart"/>
      <w:r w:rsidR="00FC458A">
        <w:t>category</w:t>
      </w:r>
      <w:proofErr w:type="spellEnd"/>
      <w:r w:rsidR="00FC458A">
        <w:t xml:space="preserve">) dle </w:t>
      </w:r>
      <w:proofErr w:type="spellStart"/>
      <w:r w:rsidR="00FC458A">
        <w:t>impact</w:t>
      </w:r>
      <w:proofErr w:type="spellEnd"/>
      <w:r w:rsidR="00FC458A">
        <w:t xml:space="preserve"> faktoru (IF), který je určen podle </w:t>
      </w:r>
      <w:proofErr w:type="spellStart"/>
      <w:r w:rsidR="00FC458A">
        <w:t>Journal</w:t>
      </w:r>
      <w:proofErr w:type="spellEnd"/>
      <w:r w:rsidR="00FC458A">
        <w:t xml:space="preserve"> </w:t>
      </w:r>
      <w:proofErr w:type="spellStart"/>
      <w:r w:rsidR="00FC458A">
        <w:t>Citation</w:t>
      </w:r>
      <w:proofErr w:type="spellEnd"/>
      <w:r w:rsidR="00FC458A">
        <w:t xml:space="preserve"> </w:t>
      </w:r>
      <w:proofErr w:type="spellStart"/>
      <w:r w:rsidR="00FC458A">
        <w:t>Reports</w:t>
      </w:r>
      <w:proofErr w:type="spellEnd"/>
      <w:r w:rsidR="00FB20EC">
        <w:t xml:space="preserve"> (</w:t>
      </w:r>
      <w:hyperlink r:id="rId5" w:history="1">
        <w:r w:rsidR="00FB20EC" w:rsidRPr="0027095D">
          <w:rPr>
            <w:rStyle w:val="Hypertextovodkaz"/>
          </w:rPr>
          <w:t>https://jcr.incites.thomsonreuters.com</w:t>
        </w:r>
      </w:hyperlink>
      <w:r w:rsidR="00FB20EC">
        <w:t>).</w:t>
      </w:r>
      <w:r w:rsidR="00FC458A">
        <w:t xml:space="preserve"> Je používána hodnota IF platná k roku uplatnění výsledku. V případě, kdy bude časopis zařazen do více oborových kategorií, </w:t>
      </w:r>
      <w:r>
        <w:t xml:space="preserve">je normované pořadí </w:t>
      </w:r>
      <w:r w:rsidR="00FC458A">
        <w:t>vypočten</w:t>
      </w:r>
      <w:r>
        <w:t>o</w:t>
      </w:r>
      <w:r w:rsidR="00FC458A">
        <w:t xml:space="preserve"> jako aritmetický průměr </w:t>
      </w:r>
      <w:r>
        <w:t xml:space="preserve">normovaných pořadí </w:t>
      </w:r>
      <w:r w:rsidR="00FC458A">
        <w:t>ve všech oborových kategoriích, kde se vyskytuje.</w:t>
      </w:r>
      <w:r w:rsidRPr="009B1C7F">
        <w:t xml:space="preserve"> </w:t>
      </w:r>
    </w:p>
    <w:p w:rsidR="00FC458A" w:rsidRPr="009B1C7F" w:rsidRDefault="009B1C7F" w:rsidP="00FC458A">
      <w:pPr>
        <w:jc w:val="both"/>
        <w:rPr>
          <w:b/>
          <w:bCs/>
        </w:rPr>
      </w:pPr>
      <w:r w:rsidRPr="009B1C7F">
        <w:rPr>
          <w:b/>
          <w:bCs/>
        </w:rPr>
        <w:t>Hodnoty normovaného pořadí impaktovaných časopisů, ve kterých akademičtí pracovníci FAI (</w:t>
      </w:r>
      <w:proofErr w:type="spellStart"/>
      <w:r w:rsidRPr="009B1C7F">
        <w:rPr>
          <w:b/>
          <w:bCs/>
        </w:rPr>
        <w:t>Cebia-Tech</w:t>
      </w:r>
      <w:proofErr w:type="spellEnd"/>
      <w:r w:rsidRPr="009B1C7F">
        <w:rPr>
          <w:b/>
          <w:bCs/>
        </w:rPr>
        <w:t>) publikovali v roce 2018, byly určeny na oddělení tvůrčích činností (OTČ). Příslušné hodnoty naleznete v příloze č.1 tohoto dokumentu. Vyplňujte do výkazu výhradně tyto hodnoty normovaného pořadí.</w:t>
      </w:r>
      <w:r>
        <w:rPr>
          <w:b/>
          <w:bCs/>
        </w:rPr>
        <w:t xml:space="preserve"> V případě že v seznamu nenajdete </w:t>
      </w:r>
      <w:proofErr w:type="gramStart"/>
      <w:r>
        <w:rPr>
          <w:b/>
          <w:bCs/>
        </w:rPr>
        <w:t>časopis</w:t>
      </w:r>
      <w:proofErr w:type="gramEnd"/>
      <w:r>
        <w:rPr>
          <w:b/>
          <w:bCs/>
        </w:rPr>
        <w:t xml:space="preserve"> ve kterém jste publikovali, kontaktujte proděkana pro doktorské studium.</w:t>
      </w:r>
    </w:p>
    <w:p w:rsidR="00E11645" w:rsidRPr="00C43B67" w:rsidRDefault="00E11645" w:rsidP="00962A75">
      <w:pPr>
        <w:pStyle w:val="Nadpis4"/>
      </w:pPr>
      <w:r w:rsidRPr="00C43B67">
        <w:t>Články v časop</w:t>
      </w:r>
      <w:r>
        <w:t>isech uvedené v databázi SCOPUS</w:t>
      </w:r>
    </w:p>
    <w:p w:rsidR="009B1C7F" w:rsidRDefault="009B1C7F" w:rsidP="009B1C7F">
      <w:pPr>
        <w:jc w:val="both"/>
      </w:pPr>
      <w:r>
        <w:t xml:space="preserve">Články v časopisech indexovaných v databázi SCOPUS se hodnotí podobně jako impaktované časopisy. Tyto časopisy se vyhodnocují podle indexu SJR. Do výkazu je třeba doplnit opět normované pořadí časopisu v daném oboru podle SJR indexu. </w:t>
      </w:r>
    </w:p>
    <w:p w:rsidR="009B1C7F" w:rsidRDefault="009B1C7F" w:rsidP="009B1C7F">
      <w:pPr>
        <w:jc w:val="both"/>
      </w:pPr>
      <w:r>
        <w:t>Normované pořadí časopisu se určuje v závislosti na umístění časopisu v daném oboru (</w:t>
      </w:r>
      <w:proofErr w:type="spellStart"/>
      <w:r>
        <w:t>subject</w:t>
      </w:r>
      <w:proofErr w:type="spellEnd"/>
      <w:r>
        <w:t xml:space="preserve"> area) podle SJR indexu, který je určen podle </w:t>
      </w:r>
      <w:proofErr w:type="spellStart"/>
      <w:r>
        <w:t>SCImago</w:t>
      </w:r>
      <w:proofErr w:type="spellEnd"/>
      <w:r>
        <w:t xml:space="preserve"> </w:t>
      </w:r>
      <w:proofErr w:type="spellStart"/>
      <w:r>
        <w:t>Journal</w:t>
      </w:r>
      <w:proofErr w:type="spellEnd"/>
      <w:r>
        <w:t xml:space="preserve"> &amp; Country Rank. (</w:t>
      </w:r>
      <w:hyperlink r:id="rId6" w:history="1">
        <w:r w:rsidRPr="0027095D">
          <w:rPr>
            <w:rStyle w:val="Hypertextovodkaz"/>
          </w:rPr>
          <w:t>http://www.scimagojr.com/</w:t>
        </w:r>
      </w:hyperlink>
      <w:r>
        <w:t>). Je používána hodnota SJR (</w:t>
      </w:r>
      <w:proofErr w:type="spellStart"/>
      <w:r>
        <w:t>kvartilu</w:t>
      </w:r>
      <w:proofErr w:type="spellEnd"/>
      <w:r>
        <w:t xml:space="preserve">) platná k roku uplatnění výsledku. V případě, kdy bude časopis zařazen do více oborů, je normované pořadí vypočteno jako aritmetický průměr normovaných pořadí ve všech oborech, kde se vyskytuje. </w:t>
      </w:r>
    </w:p>
    <w:p w:rsidR="009B1C7F" w:rsidRPr="009B1C7F" w:rsidRDefault="009B1C7F" w:rsidP="009B1C7F">
      <w:pPr>
        <w:jc w:val="both"/>
        <w:rPr>
          <w:b/>
          <w:bCs/>
        </w:rPr>
      </w:pPr>
      <w:r w:rsidRPr="009B1C7F">
        <w:rPr>
          <w:b/>
          <w:bCs/>
        </w:rPr>
        <w:t>Hodnoty normovaného pořadí časopisů, ve kterých akademičtí pracovníci FAI (</w:t>
      </w:r>
      <w:proofErr w:type="spellStart"/>
      <w:r w:rsidRPr="009B1C7F">
        <w:rPr>
          <w:b/>
          <w:bCs/>
        </w:rPr>
        <w:t>Cebia-Tech</w:t>
      </w:r>
      <w:proofErr w:type="spellEnd"/>
      <w:r w:rsidRPr="009B1C7F">
        <w:rPr>
          <w:b/>
          <w:bCs/>
        </w:rPr>
        <w:t xml:space="preserve">) publikovali v roce 2018, byly vypočítány na OTČ. Příslušné hodnoty naleznete v příloze č.2 tohoto dokumentu. Vyplňujte do výkazu výhradně tyto hodnoty normovaného pořadí. </w:t>
      </w:r>
      <w:r w:rsidR="001A10B1">
        <w:rPr>
          <w:b/>
          <w:bCs/>
        </w:rPr>
        <w:t>V případě že v seznamu nenajdete časopis ve kterém jste publikovali, kontaktujte proděkana pro doktorské studium.</w:t>
      </w:r>
      <w:bookmarkStart w:id="0" w:name="_GoBack"/>
      <w:bookmarkEnd w:id="0"/>
    </w:p>
    <w:p w:rsidR="00572196" w:rsidRPr="00342864" w:rsidRDefault="00572196" w:rsidP="00572196">
      <w:pPr>
        <w:jc w:val="both"/>
        <w:rPr>
          <w:rFonts w:asciiTheme="majorHAnsi" w:eastAsia="Times New Roman" w:hAnsiTheme="majorHAnsi" w:cstheme="majorBidi"/>
          <w:b/>
          <w:bCs/>
          <w:color w:val="4F81BD" w:themeColor="accent1"/>
          <w:sz w:val="26"/>
          <w:szCs w:val="26"/>
        </w:rPr>
      </w:pPr>
      <w:r>
        <w:rPr>
          <w:b/>
        </w:rPr>
        <w:t xml:space="preserve">POZN: Články publikované v některých časopisech dohledatelné ve SCOPUSU nejsou již od roku 2015 respektive 2016 indexovány v databázi SCOPUS (jedná se zejména o časopisy WSEAS </w:t>
      </w:r>
      <w:proofErr w:type="spellStart"/>
      <w:r>
        <w:rPr>
          <w:b/>
        </w:rPr>
        <w:t>transaction</w:t>
      </w:r>
      <w:proofErr w:type="spellEnd"/>
      <w:r>
        <w:rPr>
          <w:b/>
        </w:rPr>
        <w:t>.</w:t>
      </w:r>
      <w:r w:rsidR="00615D03">
        <w:rPr>
          <w:b/>
        </w:rPr>
        <w:t>.</w:t>
      </w:r>
      <w:r>
        <w:rPr>
          <w:b/>
        </w:rPr>
        <w:t xml:space="preserve">.). </w:t>
      </w:r>
      <w:r w:rsidR="00615D03">
        <w:rPr>
          <w:b/>
        </w:rPr>
        <w:t xml:space="preserve">Takové články je třeba zařadit do kategorie </w:t>
      </w:r>
      <w:proofErr w:type="spellStart"/>
      <w:r w:rsidR="00615D03">
        <w:rPr>
          <w:b/>
        </w:rPr>
        <w:t>Jneimp</w:t>
      </w:r>
      <w:proofErr w:type="spellEnd"/>
      <w:r w:rsidR="00615D03">
        <w:rPr>
          <w:b/>
        </w:rPr>
        <w:t xml:space="preserve">. </w:t>
      </w:r>
    </w:p>
    <w:p w:rsidR="00615D03" w:rsidRDefault="00615D03">
      <w:pPr>
        <w:rPr>
          <w:rFonts w:asciiTheme="majorHAnsi" w:eastAsiaTheme="majorEastAsia" w:hAnsiTheme="majorHAnsi" w:cstheme="majorBidi"/>
          <w:b/>
          <w:bCs/>
          <w:i/>
          <w:iCs/>
          <w:color w:val="4F81BD" w:themeColor="accent1"/>
        </w:rPr>
      </w:pPr>
      <w:r>
        <w:br w:type="page"/>
      </w:r>
    </w:p>
    <w:p w:rsidR="00E11645" w:rsidRPr="007C1E2B" w:rsidRDefault="00E11645" w:rsidP="00075F20">
      <w:pPr>
        <w:pStyle w:val="Nadpis4"/>
      </w:pPr>
      <w:r w:rsidRPr="007C1E2B">
        <w:lastRenderedPageBreak/>
        <w:t xml:space="preserve">Článek ve </w:t>
      </w:r>
      <w:proofErr w:type="gramStart"/>
      <w:r w:rsidRPr="007C1E2B">
        <w:t>sborníku - evidován</w:t>
      </w:r>
      <w:proofErr w:type="gramEnd"/>
      <w:r w:rsidRPr="007C1E2B">
        <w:t xml:space="preserve"> v databázi SCOPUS</w:t>
      </w:r>
      <w:r>
        <w:t xml:space="preserve"> a je mu přiřazena nenulová hodnota indexu SJR</w:t>
      </w:r>
    </w:p>
    <w:p w:rsidR="00E11645" w:rsidRDefault="00E11645" w:rsidP="00E11645">
      <w:pPr>
        <w:jc w:val="both"/>
      </w:pPr>
      <w:r>
        <w:t xml:space="preserve">Pro zařazení článku do této kategorie </w:t>
      </w:r>
      <w:r w:rsidRPr="0093354E">
        <w:t xml:space="preserve">platí </w:t>
      </w:r>
      <w:r>
        <w:t xml:space="preserve">následující pravidla: </w:t>
      </w:r>
    </w:p>
    <w:p w:rsidR="00E11645" w:rsidRDefault="00E11645" w:rsidP="00E11645">
      <w:pPr>
        <w:pStyle w:val="Odstavecseseznamem"/>
        <w:numPr>
          <w:ilvl w:val="0"/>
          <w:numId w:val="10"/>
        </w:numPr>
        <w:jc w:val="both"/>
      </w:pPr>
      <w:r w:rsidRPr="0093354E">
        <w:t>konference</w:t>
      </w:r>
      <w:r>
        <w:t xml:space="preserve"> (sborník z konference)</w:t>
      </w:r>
      <w:r w:rsidRPr="0093354E">
        <w:t xml:space="preserve"> </w:t>
      </w:r>
      <w:r>
        <w:t xml:space="preserve">se </w:t>
      </w:r>
      <w:r w:rsidRPr="0093354E">
        <w:t>alespoň jeden k</w:t>
      </w:r>
      <w:r w:rsidR="00572196">
        <w:t>rát za tři</w:t>
      </w:r>
      <w:r>
        <w:t xml:space="preserve"> </w:t>
      </w:r>
      <w:r w:rsidR="00F44267">
        <w:t xml:space="preserve">předcházející </w:t>
      </w:r>
      <w:r>
        <w:t xml:space="preserve">roky </w:t>
      </w:r>
      <w:r w:rsidRPr="0093354E">
        <w:t>objevil</w:t>
      </w:r>
      <w:r>
        <w:t>a v databázi SCOPUS</w:t>
      </w:r>
      <w:r w:rsidR="00F44267">
        <w:t xml:space="preserve">. </w:t>
      </w:r>
      <w:r>
        <w:t xml:space="preserve"> (v</w:t>
      </w:r>
      <w:r w:rsidRPr="0093354E">
        <w:t xml:space="preserve"> případě nesrovnalostí kontaktujte OTČ</w:t>
      </w:r>
      <w:r>
        <w:t>)</w:t>
      </w:r>
    </w:p>
    <w:p w:rsidR="00E11645" w:rsidRPr="00123E0C" w:rsidRDefault="00E11645" w:rsidP="00E11645">
      <w:pPr>
        <w:pStyle w:val="Odstavecseseznamem"/>
        <w:numPr>
          <w:ilvl w:val="0"/>
          <w:numId w:val="10"/>
        </w:numPr>
        <w:jc w:val="both"/>
        <w:rPr>
          <w:b/>
          <w:u w:val="single"/>
        </w:rPr>
      </w:pPr>
      <w:r>
        <w:t xml:space="preserve">sborník je </w:t>
      </w:r>
      <w:r w:rsidRPr="001E70FE">
        <w:t>typ</w:t>
      </w:r>
      <w:r>
        <w:t>u</w:t>
      </w:r>
      <w:r w:rsidRPr="001E70FE">
        <w:t xml:space="preserve"> (Source Type) "</w:t>
      </w:r>
      <w:proofErr w:type="spellStart"/>
      <w:r w:rsidRPr="001E70FE">
        <w:t>Conference</w:t>
      </w:r>
      <w:proofErr w:type="spellEnd"/>
      <w:r w:rsidRPr="001E70FE">
        <w:t xml:space="preserve"> </w:t>
      </w:r>
      <w:proofErr w:type="spellStart"/>
      <w:r w:rsidRPr="001E70FE">
        <w:t>Proceedings</w:t>
      </w:r>
      <w:proofErr w:type="spellEnd"/>
      <w:r w:rsidRPr="001E70FE">
        <w:t>" nebo "</w:t>
      </w:r>
      <w:proofErr w:type="spellStart"/>
      <w:r w:rsidRPr="001E70FE">
        <w:t>Book</w:t>
      </w:r>
      <w:proofErr w:type="spellEnd"/>
      <w:r w:rsidRPr="001E70FE">
        <w:t xml:space="preserve"> </w:t>
      </w:r>
      <w:proofErr w:type="spellStart"/>
      <w:r w:rsidRPr="001E70FE">
        <w:t>Series</w:t>
      </w:r>
      <w:proofErr w:type="spellEnd"/>
      <w:r w:rsidRPr="001E70FE">
        <w:t xml:space="preserve">" </w:t>
      </w:r>
      <w:r w:rsidRPr="00123E0C">
        <w:rPr>
          <w:b/>
          <w:u w:val="single"/>
        </w:rPr>
        <w:t>a je mu přiřazena nenulová hodnota indexu SJR</w:t>
      </w:r>
    </w:p>
    <w:p w:rsidR="00E11645" w:rsidRPr="007C1E2B" w:rsidRDefault="00E11645" w:rsidP="00075F20">
      <w:pPr>
        <w:pStyle w:val="Nadpis4"/>
      </w:pPr>
      <w:r w:rsidRPr="007C1E2B">
        <w:t xml:space="preserve">Článek ve </w:t>
      </w:r>
      <w:proofErr w:type="gramStart"/>
      <w:r w:rsidRPr="007C1E2B">
        <w:t>sborníku - evidován</w:t>
      </w:r>
      <w:proofErr w:type="gramEnd"/>
      <w:r w:rsidRPr="007C1E2B">
        <w:t xml:space="preserve"> v databázi ISI </w:t>
      </w:r>
      <w:proofErr w:type="spellStart"/>
      <w:r w:rsidRPr="007C1E2B">
        <w:t>Proceedings</w:t>
      </w:r>
      <w:proofErr w:type="spellEnd"/>
      <w:r w:rsidRPr="007C1E2B">
        <w:t xml:space="preserve"> společnosti Thomson </w:t>
      </w:r>
      <w:r w:rsidRPr="00061D8F">
        <w:t>Reuters</w:t>
      </w:r>
      <w:r w:rsidRPr="007C1E2B">
        <w:t xml:space="preserve"> nebo v databázi SCOPUS</w:t>
      </w:r>
      <w:r>
        <w:t xml:space="preserve"> bez přidělené hodnoty indexu SJR</w:t>
      </w:r>
    </w:p>
    <w:p w:rsidR="00E11645" w:rsidRDefault="00E11645" w:rsidP="00E11645">
      <w:pPr>
        <w:jc w:val="both"/>
      </w:pPr>
      <w:r>
        <w:t xml:space="preserve">Pro zařazení článku do této kategorie </w:t>
      </w:r>
      <w:r w:rsidRPr="0093354E">
        <w:t xml:space="preserve">platí </w:t>
      </w:r>
      <w:r>
        <w:t xml:space="preserve">následující pravidla: </w:t>
      </w:r>
    </w:p>
    <w:p w:rsidR="00E11645" w:rsidRDefault="00E11645" w:rsidP="00E11645">
      <w:pPr>
        <w:pStyle w:val="Odstavecseseznamem"/>
        <w:numPr>
          <w:ilvl w:val="0"/>
          <w:numId w:val="10"/>
        </w:numPr>
        <w:jc w:val="both"/>
      </w:pPr>
      <w:r w:rsidRPr="0093354E">
        <w:t>konference</w:t>
      </w:r>
      <w:r>
        <w:t xml:space="preserve"> (sborník z konference)</w:t>
      </w:r>
      <w:r w:rsidRPr="0093354E">
        <w:t xml:space="preserve"> </w:t>
      </w:r>
      <w:r>
        <w:t xml:space="preserve">se </w:t>
      </w:r>
      <w:r w:rsidRPr="0093354E">
        <w:t>alespoň jeden k</w:t>
      </w:r>
      <w:r w:rsidR="00572196">
        <w:t>rát za tři</w:t>
      </w:r>
      <w:r>
        <w:t xml:space="preserve"> </w:t>
      </w:r>
      <w:r w:rsidR="00F44267">
        <w:t xml:space="preserve">předcházející </w:t>
      </w:r>
      <w:r>
        <w:t>roky</w:t>
      </w:r>
      <w:r w:rsidRPr="0093354E">
        <w:t xml:space="preserve"> objevil</w:t>
      </w:r>
      <w:r>
        <w:t>a</w:t>
      </w:r>
      <w:r w:rsidRPr="007C1E2B">
        <w:t xml:space="preserve"> v databázi ISI </w:t>
      </w:r>
      <w:proofErr w:type="spellStart"/>
      <w:r w:rsidRPr="007C1E2B">
        <w:t>Proceedings</w:t>
      </w:r>
      <w:proofErr w:type="spellEnd"/>
      <w:r w:rsidRPr="007C1E2B">
        <w:t xml:space="preserve"> společnosti Thomson </w:t>
      </w:r>
      <w:r w:rsidRPr="00061D8F">
        <w:t>Reuters</w:t>
      </w:r>
      <w:r w:rsidRPr="007C1E2B">
        <w:t xml:space="preserve"> </w:t>
      </w:r>
      <w:r>
        <w:t>nebo databázi SCOPUS (v</w:t>
      </w:r>
      <w:r w:rsidRPr="0093354E">
        <w:t xml:space="preserve"> případě nesrovnalostí kontaktujte OTČ</w:t>
      </w:r>
      <w:r>
        <w:t>)</w:t>
      </w:r>
    </w:p>
    <w:p w:rsidR="00E11645" w:rsidRPr="00764CF8" w:rsidRDefault="00E11645" w:rsidP="00E11645">
      <w:pPr>
        <w:pStyle w:val="Odstavecseseznamem"/>
        <w:numPr>
          <w:ilvl w:val="0"/>
          <w:numId w:val="10"/>
        </w:numPr>
        <w:jc w:val="both"/>
      </w:pPr>
      <w:r>
        <w:t xml:space="preserve">sborník je </w:t>
      </w:r>
      <w:r w:rsidRPr="001E70FE">
        <w:t>typ</w:t>
      </w:r>
      <w:r>
        <w:t>u</w:t>
      </w:r>
      <w:r w:rsidRPr="001E70FE">
        <w:t xml:space="preserve"> (Source Type) "</w:t>
      </w:r>
      <w:proofErr w:type="spellStart"/>
      <w:r w:rsidRPr="001E70FE">
        <w:t>Conference</w:t>
      </w:r>
      <w:proofErr w:type="spellEnd"/>
      <w:r w:rsidRPr="001E70FE">
        <w:t xml:space="preserve"> </w:t>
      </w:r>
      <w:proofErr w:type="spellStart"/>
      <w:r w:rsidRPr="001E70FE">
        <w:t>Proc</w:t>
      </w:r>
      <w:r>
        <w:t>eedings</w:t>
      </w:r>
      <w:proofErr w:type="spellEnd"/>
      <w:r>
        <w:t>" nebo "</w:t>
      </w:r>
      <w:proofErr w:type="spellStart"/>
      <w:r>
        <w:t>Book</w:t>
      </w:r>
      <w:proofErr w:type="spellEnd"/>
      <w:r>
        <w:t xml:space="preserve"> </w:t>
      </w:r>
      <w:proofErr w:type="spellStart"/>
      <w:r>
        <w:t>Series</w:t>
      </w:r>
      <w:proofErr w:type="spellEnd"/>
      <w:r>
        <w:t xml:space="preserve">" a </w:t>
      </w:r>
      <w:r w:rsidRPr="00277547">
        <w:rPr>
          <w:b/>
          <w:u w:val="single"/>
        </w:rPr>
        <w:t>není mu v databázi SCOPUS přiřazena hodnota indexu SJR</w:t>
      </w:r>
    </w:p>
    <w:p w:rsidR="00E11645" w:rsidRDefault="00E11645" w:rsidP="00075F20">
      <w:pPr>
        <w:pStyle w:val="Nadpis4"/>
      </w:pPr>
      <w:r w:rsidRPr="00AB0D37">
        <w:t>Odborná kniha</w:t>
      </w:r>
      <w:r>
        <w:t>,</w:t>
      </w:r>
      <w:r w:rsidRPr="00AB0D37">
        <w:t xml:space="preserve"> kapitola v odborné knize </w:t>
      </w:r>
    </w:p>
    <w:p w:rsidR="00E11645" w:rsidRDefault="00E11645" w:rsidP="00E11645">
      <w:pPr>
        <w:jc w:val="both"/>
        <w:rPr>
          <w:lang w:eastAsia="cs-CZ"/>
        </w:rPr>
      </w:pPr>
      <w:r>
        <w:rPr>
          <w:lang w:eastAsia="cs-CZ"/>
        </w:rPr>
        <w:t>U tohoto typu výstupu se uvádí počet autorských archů (AA). Počet autorských archů se určuje na základě následujícího předpisu:</w:t>
      </w:r>
      <w:r w:rsidR="00075F20">
        <w:rPr>
          <w:lang w:eastAsia="cs-CZ"/>
        </w:rPr>
        <w:t xml:space="preserve"> </w:t>
      </w:r>
      <w:r>
        <w:rPr>
          <w:lang w:eastAsia="cs-CZ"/>
        </w:rPr>
        <w:t>Text: 1 AA = 36000 znaků (20 normostran)</w:t>
      </w:r>
      <w:r w:rsidR="00075F20">
        <w:rPr>
          <w:lang w:eastAsia="cs-CZ"/>
        </w:rPr>
        <w:t xml:space="preserve">, </w:t>
      </w:r>
      <w:r>
        <w:rPr>
          <w:lang w:eastAsia="cs-CZ"/>
        </w:rPr>
        <w:t xml:space="preserve">Obrázky a grafy: 1 AA = 2300 cm2 </w:t>
      </w:r>
    </w:p>
    <w:p w:rsidR="00E230C0" w:rsidRDefault="00075F20" w:rsidP="00075F20">
      <w:pPr>
        <w:pStyle w:val="Nadpis4"/>
        <w:rPr>
          <w:lang w:eastAsia="cs-CZ"/>
        </w:rPr>
      </w:pPr>
      <w:r>
        <w:rPr>
          <w:lang w:eastAsia="cs-CZ"/>
        </w:rPr>
        <w:t>Patent</w:t>
      </w:r>
      <w:r w:rsidR="00FD29DE">
        <w:rPr>
          <w:lang w:eastAsia="cs-CZ"/>
        </w:rPr>
        <w:t>, aplikovaný výsledek</w:t>
      </w:r>
    </w:p>
    <w:p w:rsidR="00075F20" w:rsidRDefault="00075F20" w:rsidP="00075F20">
      <w:pPr>
        <w:jc w:val="both"/>
        <w:rPr>
          <w:lang w:eastAsia="cs-CZ"/>
        </w:rPr>
      </w:pPr>
      <w:r>
        <w:rPr>
          <w:lang w:eastAsia="cs-CZ"/>
        </w:rPr>
        <w:t xml:space="preserve">Tvůrčí aktivitu typu "Patent" popř. "Aplikovaný výsledek" krátce popište. </w:t>
      </w:r>
      <w:r w:rsidR="00572196">
        <w:rPr>
          <w:lang w:eastAsia="cs-CZ"/>
        </w:rPr>
        <w:t>Při vypl</w:t>
      </w:r>
      <w:r w:rsidR="00FD29DE">
        <w:rPr>
          <w:lang w:eastAsia="cs-CZ"/>
        </w:rPr>
        <w:t>ňování hodnoty za aktivitu „Aplikovaný výsledek“ buď kontaktujte proděkana, nebo vyplňte hodnotu dle vlastního uvážení. Konečná výše hodnocení za aktivitu "Aplikovaný výsledek" bude stanovena na základě posouzení proděkana pro tvůrčí činnosti a doktorského studia.</w:t>
      </w:r>
    </w:p>
    <w:p w:rsidR="00075F20" w:rsidRPr="00075F20" w:rsidRDefault="00075F20" w:rsidP="00075F20">
      <w:pPr>
        <w:pStyle w:val="Nadpis2"/>
      </w:pPr>
      <w:r>
        <w:t>List „ Grantové aktivity“</w:t>
      </w:r>
    </w:p>
    <w:p w:rsidR="00E230C0" w:rsidRDefault="001D4A61" w:rsidP="001D4A61">
      <w:pPr>
        <w:jc w:val="both"/>
        <w:rPr>
          <w:lang w:eastAsia="cs-CZ"/>
        </w:rPr>
      </w:pPr>
      <w:r>
        <w:rPr>
          <w:lang w:eastAsia="cs-CZ"/>
        </w:rPr>
        <w:t>Pokud vykazujete účast (</w:t>
      </w:r>
      <w:proofErr w:type="spellStart"/>
      <w:r>
        <w:rPr>
          <w:lang w:eastAsia="cs-CZ"/>
        </w:rPr>
        <w:t>spoluřešitelství</w:t>
      </w:r>
      <w:proofErr w:type="spellEnd"/>
      <w:r>
        <w:rPr>
          <w:lang w:eastAsia="cs-CZ"/>
        </w:rPr>
        <w:t xml:space="preserve">) na grantu, jehož jste nebyli hlavním řešitelem, popřípadě jste se podíleli na řešení doplňkové činnosti, počet kreditů v uvedeném rozmezí navrhuje odpovědný řešitel, který se do příslušného řádku podepíše. Konečný počet kreditů schvaluje děkan v součinnosti s proděkanem pro tvůrčí činnosti a doktorské studium. </w:t>
      </w:r>
    </w:p>
    <w:p w:rsidR="00075F20" w:rsidRDefault="00075F20" w:rsidP="00075F20">
      <w:pPr>
        <w:pStyle w:val="Nadpis2"/>
      </w:pPr>
      <w:r>
        <w:t>List „Pedagogické aktivity“</w:t>
      </w:r>
    </w:p>
    <w:p w:rsidR="001D4A61" w:rsidRDefault="00E230C0" w:rsidP="001D4A61">
      <w:pPr>
        <w:jc w:val="both"/>
        <w:rPr>
          <w:lang w:eastAsia="cs-CZ"/>
        </w:rPr>
      </w:pPr>
      <w:r>
        <w:rPr>
          <w:lang w:eastAsia="cs-CZ"/>
        </w:rPr>
        <w:t>U pedagogick</w:t>
      </w:r>
      <w:r w:rsidR="00E73FDC">
        <w:rPr>
          <w:lang w:eastAsia="cs-CZ"/>
        </w:rPr>
        <w:t xml:space="preserve">é aktivity typu </w:t>
      </w:r>
      <w:r>
        <w:rPr>
          <w:lang w:eastAsia="cs-CZ"/>
        </w:rPr>
        <w:t>"</w:t>
      </w:r>
      <w:r w:rsidR="001D4A61" w:rsidRPr="001D4A61">
        <w:t xml:space="preserve"> </w:t>
      </w:r>
      <w:r w:rsidR="001D4A61">
        <w:rPr>
          <w:lang w:eastAsia="cs-CZ"/>
        </w:rPr>
        <w:t>Učební pomůcka (výukové materiály, skripta, výukové programy, laboratorní úloha)</w:t>
      </w:r>
      <w:r>
        <w:rPr>
          <w:lang w:eastAsia="cs-CZ"/>
        </w:rPr>
        <w:t xml:space="preserve">" </w:t>
      </w:r>
      <w:r w:rsidR="009C4F30">
        <w:rPr>
          <w:lang w:eastAsia="cs-CZ"/>
        </w:rPr>
        <w:t xml:space="preserve">navrhuje počet kreditů v uvedeném rozmezí garant předmětu, který tuto skutečnost potvrdí svým podpisem do odpovídajícího řádku tabulky. Hodnotu pak schvaluje </w:t>
      </w:r>
      <w:r w:rsidR="001D4A61">
        <w:rPr>
          <w:lang w:eastAsia="cs-CZ"/>
        </w:rPr>
        <w:t>děkan v součinnosti s</w:t>
      </w:r>
      <w:r w:rsidR="009C4F30">
        <w:rPr>
          <w:lang w:eastAsia="cs-CZ"/>
        </w:rPr>
        <w:t> </w:t>
      </w:r>
      <w:r w:rsidR="001D4A61">
        <w:rPr>
          <w:lang w:eastAsia="cs-CZ"/>
        </w:rPr>
        <w:t>proděkanem</w:t>
      </w:r>
      <w:r w:rsidR="009C4F30">
        <w:rPr>
          <w:lang w:eastAsia="cs-CZ"/>
        </w:rPr>
        <w:t xml:space="preserve"> </w:t>
      </w:r>
      <w:r w:rsidR="001D4A61">
        <w:rPr>
          <w:lang w:eastAsia="cs-CZ"/>
        </w:rPr>
        <w:t xml:space="preserve">pro tvůrčí činnosti a doktorské studium. Výukové materiály včetně softwaru využitelného pro výuku </w:t>
      </w:r>
      <w:r w:rsidR="009C4F30">
        <w:rPr>
          <w:lang w:eastAsia="cs-CZ"/>
        </w:rPr>
        <w:t xml:space="preserve">musí být </w:t>
      </w:r>
      <w:r w:rsidR="001D4A61">
        <w:rPr>
          <w:lang w:eastAsia="cs-CZ"/>
        </w:rPr>
        <w:t>umístěny v databázi studijních opor FAI.</w:t>
      </w:r>
    </w:p>
    <w:p w:rsidR="009C1091" w:rsidRDefault="00E230C0" w:rsidP="004555BE">
      <w:pPr>
        <w:jc w:val="both"/>
        <w:rPr>
          <w:lang w:eastAsia="cs-CZ"/>
        </w:rPr>
      </w:pPr>
      <w:r>
        <w:rPr>
          <w:lang w:eastAsia="cs-CZ"/>
        </w:rPr>
        <w:t xml:space="preserve">Pokud jste zajišťovali výuku, necháte si </w:t>
      </w:r>
      <w:r w:rsidR="009C4F30">
        <w:rPr>
          <w:lang w:eastAsia="cs-CZ"/>
        </w:rPr>
        <w:t xml:space="preserve">vykazovaný počet hodin </w:t>
      </w:r>
      <w:r>
        <w:rPr>
          <w:lang w:eastAsia="cs-CZ"/>
        </w:rPr>
        <w:t>potvrdit</w:t>
      </w:r>
      <w:r w:rsidR="009C4F30">
        <w:rPr>
          <w:lang w:eastAsia="cs-CZ"/>
        </w:rPr>
        <w:t xml:space="preserve"> podpisem do odpovídajícího řádku tabulky</w:t>
      </w:r>
      <w:r>
        <w:rPr>
          <w:lang w:eastAsia="cs-CZ"/>
        </w:rPr>
        <w:t xml:space="preserve"> tajemníka ústavu, pro který jste výuku realizovali</w:t>
      </w:r>
      <w:r w:rsidR="004555BE">
        <w:rPr>
          <w:lang w:eastAsia="cs-CZ"/>
        </w:rPr>
        <w:t>.</w:t>
      </w:r>
    </w:p>
    <w:p w:rsidR="009B1C7F" w:rsidRDefault="009B1C7F">
      <w:pPr>
        <w:rPr>
          <w:lang w:eastAsia="cs-CZ"/>
        </w:rPr>
      </w:pPr>
      <w:r>
        <w:rPr>
          <w:lang w:eastAsia="cs-CZ"/>
        </w:rPr>
        <w:br w:type="page"/>
      </w:r>
    </w:p>
    <w:p w:rsidR="009B1C7F" w:rsidRDefault="009B1C7F" w:rsidP="009B1C7F">
      <w:pPr>
        <w:pStyle w:val="Vrazncitt"/>
        <w:ind w:left="0"/>
        <w:jc w:val="both"/>
      </w:pPr>
      <w:r>
        <w:lastRenderedPageBreak/>
        <w:t>Příloha č.1: Seznam impaktovaných časopisů včetně normovaného pořadí</w:t>
      </w:r>
    </w:p>
    <w:tbl>
      <w:tblPr>
        <w:tblW w:w="9102" w:type="dxa"/>
        <w:tblInd w:w="40" w:type="dxa"/>
        <w:tblLayout w:type="fixed"/>
        <w:tblCellMar>
          <w:left w:w="70" w:type="dxa"/>
          <w:right w:w="70" w:type="dxa"/>
        </w:tblCellMar>
        <w:tblLook w:val="0000" w:firstRow="0" w:lastRow="0" w:firstColumn="0" w:lastColumn="0" w:noHBand="0" w:noVBand="0"/>
      </w:tblPr>
      <w:tblGrid>
        <w:gridCol w:w="6409"/>
        <w:gridCol w:w="1418"/>
        <w:gridCol w:w="1275"/>
      </w:tblGrid>
      <w:tr w:rsidR="009B1C7F" w:rsidTr="00CC271E">
        <w:trPr>
          <w:trHeight w:val="290"/>
        </w:trPr>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CC271E">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Název zdroje</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CC271E">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ISSN:</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B1C7F" w:rsidRDefault="009B1C7F" w:rsidP="00CC271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Normované pořadí</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Applied</w:t>
            </w:r>
            <w:proofErr w:type="spellEnd"/>
            <w:r w:rsidRPr="00520487">
              <w:t xml:space="preserve"> </w:t>
            </w:r>
            <w:proofErr w:type="spellStart"/>
            <w:r w:rsidRPr="00520487">
              <w:t>Energy</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0306-2619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0,0475</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Applied</w:t>
            </w:r>
            <w:proofErr w:type="spellEnd"/>
            <w:r w:rsidRPr="00520487">
              <w:t xml:space="preserve"> </w:t>
            </w:r>
            <w:proofErr w:type="spellStart"/>
            <w:r w:rsidRPr="00520487">
              <w:t>Sciences-Basel</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2076-3417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0,5644</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Carbohydrate</w:t>
            </w:r>
            <w:proofErr w:type="spellEnd"/>
            <w:r w:rsidRPr="00520487">
              <w:t xml:space="preserve"> </w:t>
            </w:r>
            <w:proofErr w:type="spellStart"/>
            <w:r w:rsidRPr="00520487">
              <w:t>Polymers</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0144-8617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0,0839</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Complexity</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1076-2787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0,3235</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Composites</w:t>
            </w:r>
            <w:proofErr w:type="spellEnd"/>
            <w:r w:rsidRPr="00520487">
              <w:t xml:space="preserve"> Part B-</w:t>
            </w:r>
            <w:proofErr w:type="spellStart"/>
            <w:r w:rsidRPr="00520487">
              <w:t>Engineering</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1359-8368</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0,0318</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Energies</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1996-1073</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0,4896</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r w:rsidRPr="003E1F02">
              <w:t>IEEE</w:t>
            </w:r>
            <w:r w:rsidRPr="00520487">
              <w:t xml:space="preserve"> Access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2169-3536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0,1824</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r w:rsidRPr="003E1F02">
              <w:t>IEEE</w:t>
            </w:r>
            <w:r w:rsidRPr="00520487">
              <w:t xml:space="preserve"> </w:t>
            </w:r>
            <w:proofErr w:type="spellStart"/>
            <w:r w:rsidRPr="00520487">
              <w:t>Transactions</w:t>
            </w:r>
            <w:proofErr w:type="spellEnd"/>
            <w:r w:rsidRPr="00520487">
              <w:t xml:space="preserve"> On </w:t>
            </w:r>
            <w:proofErr w:type="spellStart"/>
            <w:r w:rsidRPr="00520487">
              <w:t>Neural</w:t>
            </w:r>
            <w:proofErr w:type="spellEnd"/>
            <w:r w:rsidRPr="00520487">
              <w:t xml:space="preserve"> Systems And </w:t>
            </w:r>
            <w:proofErr w:type="spellStart"/>
            <w:r w:rsidRPr="00520487">
              <w:t>Rehabilitation</w:t>
            </w:r>
            <w:proofErr w:type="spellEnd"/>
            <w:r w:rsidRPr="00520487">
              <w:t xml:space="preserve"> </w:t>
            </w:r>
            <w:proofErr w:type="spellStart"/>
            <w:r w:rsidRPr="00520487">
              <w:t>Engineering</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1534-4320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0,0806</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Information</w:t>
            </w:r>
            <w:proofErr w:type="spellEnd"/>
            <w:r w:rsidRPr="00520487">
              <w:t xml:space="preserve"> </w:t>
            </w:r>
            <w:r>
              <w:t>a</w:t>
            </w:r>
            <w:r w:rsidRPr="00520487">
              <w:t>nd Software Technology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0950-5849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0,2225</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r w:rsidRPr="00520487">
              <w:t xml:space="preserve">International </w:t>
            </w:r>
            <w:proofErr w:type="spellStart"/>
            <w:r w:rsidRPr="00520487">
              <w:t>Journal</w:t>
            </w:r>
            <w:proofErr w:type="spellEnd"/>
            <w:r w:rsidRPr="00520487">
              <w:t xml:space="preserve"> </w:t>
            </w:r>
            <w:proofErr w:type="spellStart"/>
            <w:r>
              <w:t>o</w:t>
            </w:r>
            <w:r w:rsidRPr="00520487">
              <w:t>f</w:t>
            </w:r>
            <w:proofErr w:type="spellEnd"/>
            <w:r w:rsidRPr="00520487">
              <w:t xml:space="preserve"> </w:t>
            </w:r>
            <w:proofErr w:type="spellStart"/>
            <w:r w:rsidRPr="00520487">
              <w:t>Control</w:t>
            </w:r>
            <w:proofErr w:type="spellEnd"/>
            <w:r w:rsidRPr="00520487">
              <w:t xml:space="preserve"> </w:t>
            </w:r>
            <w:proofErr w:type="spellStart"/>
            <w:r w:rsidRPr="00520487">
              <w:t>Automation</w:t>
            </w:r>
            <w:proofErr w:type="spellEnd"/>
            <w:r w:rsidRPr="00520487">
              <w:t xml:space="preserve"> </w:t>
            </w:r>
            <w:r>
              <w:t>a</w:t>
            </w:r>
            <w:r w:rsidRPr="00520487">
              <w:t>nd Systems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1598-6446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0,4667</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r w:rsidRPr="00520487">
              <w:t xml:space="preserve">International </w:t>
            </w:r>
            <w:proofErr w:type="spellStart"/>
            <w:r w:rsidRPr="00520487">
              <w:t>Journal</w:t>
            </w:r>
            <w:proofErr w:type="spellEnd"/>
            <w:r w:rsidRPr="00520487">
              <w:t xml:space="preserve"> </w:t>
            </w:r>
            <w:proofErr w:type="spellStart"/>
            <w:r>
              <w:t>o</w:t>
            </w:r>
            <w:r w:rsidRPr="00520487">
              <w:t>f</w:t>
            </w:r>
            <w:proofErr w:type="spellEnd"/>
            <w:r w:rsidRPr="00520487">
              <w:t xml:space="preserve"> </w:t>
            </w:r>
            <w:proofErr w:type="spellStart"/>
            <w:r w:rsidRPr="00520487">
              <w:t>Critical</w:t>
            </w:r>
            <w:proofErr w:type="spellEnd"/>
            <w:r w:rsidRPr="00520487">
              <w:t xml:space="preserve"> </w:t>
            </w:r>
            <w:proofErr w:type="spellStart"/>
            <w:r w:rsidRPr="00520487">
              <w:t>Infrastructure</w:t>
            </w:r>
            <w:proofErr w:type="spellEnd"/>
            <w:r w:rsidRPr="00520487">
              <w:t xml:space="preserve"> </w:t>
            </w:r>
            <w:proofErr w:type="spellStart"/>
            <w:r w:rsidRPr="00520487">
              <w:t>Protection</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1874-5482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0,3301</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Kautschuk</w:t>
            </w:r>
            <w:proofErr w:type="spellEnd"/>
            <w:r w:rsidRPr="00520487">
              <w:t xml:space="preserve"> </w:t>
            </w:r>
            <w:proofErr w:type="spellStart"/>
            <w:r w:rsidRPr="00520487">
              <w:t>Gummi</w:t>
            </w:r>
            <w:proofErr w:type="spellEnd"/>
            <w:r w:rsidRPr="00520487">
              <w:t xml:space="preserve"> </w:t>
            </w:r>
            <w:proofErr w:type="spellStart"/>
            <w:r w:rsidRPr="00520487">
              <w:t>Kunststoffe</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0948-3276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0,9832</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Materiali</w:t>
            </w:r>
            <w:proofErr w:type="spellEnd"/>
            <w:r w:rsidRPr="00520487">
              <w:t xml:space="preserve"> </w:t>
            </w:r>
            <w:r>
              <w:t>i</w:t>
            </w:r>
            <w:r w:rsidRPr="00520487">
              <w:t xml:space="preserve">n </w:t>
            </w:r>
            <w:proofErr w:type="spellStart"/>
            <w:r w:rsidRPr="00520487">
              <w:t>Tehnologije</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1580-2949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0,9049</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Mathematical</w:t>
            </w:r>
            <w:proofErr w:type="spellEnd"/>
            <w:r w:rsidRPr="00520487">
              <w:t xml:space="preserve"> Notes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0001-4346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0,6764</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Mathematical</w:t>
            </w:r>
            <w:proofErr w:type="spellEnd"/>
            <w:r w:rsidRPr="00520487">
              <w:t xml:space="preserve"> </w:t>
            </w:r>
            <w:proofErr w:type="spellStart"/>
            <w:r w:rsidRPr="00520487">
              <w:t>Problems</w:t>
            </w:r>
            <w:proofErr w:type="spellEnd"/>
            <w:r w:rsidRPr="00520487">
              <w:t xml:space="preserve"> </w:t>
            </w:r>
            <w:r>
              <w:t>i</w:t>
            </w:r>
            <w:r w:rsidRPr="00520487">
              <w:t xml:space="preserve">n </w:t>
            </w:r>
            <w:proofErr w:type="spellStart"/>
            <w:r w:rsidRPr="00520487">
              <w:t>Engineering</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proofErr w:type="gramStart"/>
            <w:r w:rsidRPr="00520487">
              <w:t>1024-123X</w:t>
            </w:r>
            <w:proofErr w:type="gramEnd"/>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0,5686</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Polymers</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2073-4360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0,2093</w:t>
            </w:r>
          </w:p>
        </w:tc>
      </w:tr>
      <w:tr w:rsidR="00407676"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407676" w:rsidRPr="009C75DD" w:rsidRDefault="00407676" w:rsidP="00407676">
            <w:proofErr w:type="spellStart"/>
            <w:r w:rsidRPr="009C75DD">
              <w:t>Reaction</w:t>
            </w:r>
            <w:proofErr w:type="spellEnd"/>
            <w:r w:rsidRPr="009C75DD">
              <w:t xml:space="preserve"> </w:t>
            </w:r>
            <w:proofErr w:type="spellStart"/>
            <w:r w:rsidRPr="009C75DD">
              <w:t>Kinetics</w:t>
            </w:r>
            <w:proofErr w:type="spellEnd"/>
            <w:r w:rsidRPr="009C75DD">
              <w:t xml:space="preserve"> </w:t>
            </w:r>
            <w:proofErr w:type="spellStart"/>
            <w:r w:rsidRPr="009C75DD">
              <w:t>Mechanisms</w:t>
            </w:r>
            <w:proofErr w:type="spellEnd"/>
            <w:r w:rsidRPr="009C75DD">
              <w:t xml:space="preserve"> and </w:t>
            </w:r>
            <w:proofErr w:type="spellStart"/>
            <w:r w:rsidRPr="009C75DD">
              <w:t>Catalysis</w:t>
            </w:r>
            <w:proofErr w:type="spellEnd"/>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407676" w:rsidRPr="009C75DD" w:rsidRDefault="00407676" w:rsidP="00407676">
            <w:pPr>
              <w:jc w:val="center"/>
            </w:pPr>
            <w:r w:rsidRPr="009C75DD">
              <w:t>1878-5190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jc w:val="center"/>
            </w:pPr>
            <w:r w:rsidRPr="009C75DD">
              <w:t>0,7959</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Sensors</w:t>
            </w:r>
            <w:proofErr w:type="spellEnd"/>
            <w:r w:rsidRPr="00520487">
              <w:t xml:space="preserve"> </w:t>
            </w:r>
            <w:r>
              <w:t>a</w:t>
            </w:r>
            <w:r w:rsidRPr="00520487">
              <w:t xml:space="preserve">nd </w:t>
            </w:r>
            <w:proofErr w:type="spellStart"/>
            <w:r w:rsidRPr="00520487">
              <w:t>Actuators</w:t>
            </w:r>
            <w:proofErr w:type="spellEnd"/>
            <w:r w:rsidRPr="00520487">
              <w:t xml:space="preserve"> B-</w:t>
            </w:r>
            <w:proofErr w:type="spellStart"/>
            <w:r w:rsidRPr="00520487">
              <w:t>Chemical</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0925-4005</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0,0676</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r w:rsidRPr="00520487">
              <w:t xml:space="preserve">Soft </w:t>
            </w:r>
            <w:proofErr w:type="spellStart"/>
            <w:r w:rsidRPr="00520487">
              <w:t>Computing</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1432-7643</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0,3554</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Swarm</w:t>
            </w:r>
            <w:proofErr w:type="spellEnd"/>
            <w:r w:rsidRPr="00520487">
              <w:t xml:space="preserve"> </w:t>
            </w:r>
            <w:r>
              <w:t>a</w:t>
            </w:r>
            <w:r w:rsidRPr="00520487">
              <w:t xml:space="preserve">nd </w:t>
            </w:r>
            <w:proofErr w:type="spellStart"/>
            <w:r w:rsidRPr="00520487">
              <w:t>Evolutionary</w:t>
            </w:r>
            <w:proofErr w:type="spellEnd"/>
            <w:r w:rsidRPr="00520487">
              <w:t xml:space="preserve"> </w:t>
            </w:r>
            <w:proofErr w:type="spellStart"/>
            <w:r w:rsidRPr="00520487">
              <w:t>Computation</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2210-6502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0,1041</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Transactions</w:t>
            </w:r>
            <w:proofErr w:type="spellEnd"/>
            <w:r w:rsidRPr="00520487">
              <w:t xml:space="preserve"> </w:t>
            </w:r>
            <w:proofErr w:type="spellStart"/>
            <w:r>
              <w:t>o</w:t>
            </w:r>
            <w:r w:rsidRPr="00520487">
              <w:t>f</w:t>
            </w:r>
            <w:proofErr w:type="spellEnd"/>
            <w:r w:rsidRPr="00520487">
              <w:t xml:space="preserve"> </w:t>
            </w:r>
            <w:proofErr w:type="spellStart"/>
            <w:r>
              <w:t>t</w:t>
            </w:r>
            <w:r w:rsidRPr="00520487">
              <w:t>he</w:t>
            </w:r>
            <w:proofErr w:type="spellEnd"/>
            <w:r w:rsidRPr="00520487">
              <w:t xml:space="preserve"> Institute </w:t>
            </w:r>
            <w:proofErr w:type="spellStart"/>
            <w:r>
              <w:t>o</w:t>
            </w:r>
            <w:r w:rsidRPr="00520487">
              <w:t>f</w:t>
            </w:r>
            <w:proofErr w:type="spellEnd"/>
            <w:r w:rsidRPr="00520487">
              <w:t xml:space="preserve"> </w:t>
            </w:r>
            <w:proofErr w:type="spellStart"/>
            <w:r w:rsidRPr="00520487">
              <w:t>Measurement</w:t>
            </w:r>
            <w:proofErr w:type="spellEnd"/>
            <w:r w:rsidRPr="00520487">
              <w:t xml:space="preserve"> </w:t>
            </w:r>
            <w:r>
              <w:t>a</w:t>
            </w:r>
            <w:r w:rsidRPr="00520487">
              <w:t xml:space="preserve">nd </w:t>
            </w:r>
            <w:proofErr w:type="spellStart"/>
            <w:r w:rsidRPr="00520487">
              <w:t>Control</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0142-3312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0,5500</w:t>
            </w:r>
          </w:p>
        </w:tc>
      </w:tr>
      <w:tr w:rsidR="009B1C7F" w:rsidRPr="00F123D0" w:rsidTr="00CC271E">
        <w:tc>
          <w:tcPr>
            <w:tcW w:w="6409"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roofErr w:type="spellStart"/>
            <w:r w:rsidRPr="00520487">
              <w:t>Turkish</w:t>
            </w:r>
            <w:proofErr w:type="spellEnd"/>
            <w:r w:rsidRPr="00520487">
              <w:t xml:space="preserve"> </w:t>
            </w:r>
            <w:proofErr w:type="spellStart"/>
            <w:r w:rsidRPr="00520487">
              <w:t>Journal</w:t>
            </w:r>
            <w:proofErr w:type="spellEnd"/>
            <w:r w:rsidRPr="00520487">
              <w:t xml:space="preserve"> </w:t>
            </w:r>
            <w:proofErr w:type="spellStart"/>
            <w:r>
              <w:t>o</w:t>
            </w:r>
            <w:r w:rsidRPr="00520487">
              <w:t>f</w:t>
            </w:r>
            <w:proofErr w:type="spellEnd"/>
            <w:r w:rsidRPr="00520487">
              <w:t xml:space="preserve"> </w:t>
            </w:r>
            <w:proofErr w:type="spellStart"/>
            <w:r w:rsidRPr="00520487">
              <w:t>Electrical</w:t>
            </w:r>
            <w:proofErr w:type="spellEnd"/>
            <w:r w:rsidRPr="00520487">
              <w:t xml:space="preserve"> </w:t>
            </w:r>
            <w:proofErr w:type="spellStart"/>
            <w:r w:rsidRPr="00520487">
              <w:t>Engineering</w:t>
            </w:r>
            <w:proofErr w:type="spellEnd"/>
            <w:r w:rsidRPr="00520487">
              <w:t xml:space="preserve"> </w:t>
            </w:r>
            <w:r>
              <w:t>a</w:t>
            </w:r>
            <w:r w:rsidRPr="00520487">
              <w:t xml:space="preserve">nd </w:t>
            </w:r>
            <w:proofErr w:type="spellStart"/>
            <w:r w:rsidRPr="00520487">
              <w:t>Computer</w:t>
            </w:r>
            <w:proofErr w:type="spellEnd"/>
            <w:r w:rsidRPr="00520487">
              <w:t xml:space="preserve"> </w:t>
            </w:r>
            <w:proofErr w:type="spellStart"/>
            <w:r w:rsidRPr="00520487">
              <w:t>Sciences</w:t>
            </w:r>
            <w:proofErr w:type="spellEnd"/>
            <w:r w:rsidRPr="00520487">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9B1C7F" w:rsidRPr="00520487" w:rsidRDefault="009B1C7F" w:rsidP="00CC271E">
            <w:pPr>
              <w:jc w:val="center"/>
            </w:pPr>
            <w:r w:rsidRPr="00520487">
              <w:t>1300-0632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CC271E">
            <w:pPr>
              <w:jc w:val="center"/>
            </w:pPr>
            <w:r w:rsidRPr="00520487">
              <w:t>0,9020</w:t>
            </w:r>
          </w:p>
        </w:tc>
      </w:tr>
    </w:tbl>
    <w:p w:rsidR="009B1C7F" w:rsidRDefault="009B1C7F" w:rsidP="009B1C7F"/>
    <w:p w:rsidR="009B1C7F" w:rsidRDefault="009B1C7F" w:rsidP="009B1C7F">
      <w:pPr>
        <w:rPr>
          <w:b/>
          <w:bCs/>
          <w:i/>
          <w:iCs/>
          <w:color w:val="4F81BD" w:themeColor="accent1"/>
        </w:rPr>
      </w:pPr>
      <w:r>
        <w:br w:type="page"/>
      </w:r>
    </w:p>
    <w:p w:rsidR="009B1C7F" w:rsidRDefault="009B1C7F" w:rsidP="009B1C7F">
      <w:pPr>
        <w:pStyle w:val="Vrazncitt"/>
        <w:ind w:left="0"/>
        <w:jc w:val="both"/>
      </w:pPr>
      <w:r>
        <w:lastRenderedPageBreak/>
        <w:t>Příloha č.2: Seznam SCOPUS časopisů včetně normovaného pořadí</w:t>
      </w:r>
    </w:p>
    <w:tbl>
      <w:tblPr>
        <w:tblW w:w="9102" w:type="dxa"/>
        <w:tblInd w:w="40" w:type="dxa"/>
        <w:tblLayout w:type="fixed"/>
        <w:tblCellMar>
          <w:left w:w="70" w:type="dxa"/>
          <w:right w:w="70" w:type="dxa"/>
        </w:tblCellMar>
        <w:tblLook w:val="0000" w:firstRow="0" w:lastRow="0" w:firstColumn="0" w:lastColumn="0" w:noHBand="0" w:noVBand="0"/>
      </w:tblPr>
      <w:tblGrid>
        <w:gridCol w:w="6551"/>
        <w:gridCol w:w="1276"/>
        <w:gridCol w:w="1275"/>
      </w:tblGrid>
      <w:tr w:rsidR="009B1C7F" w:rsidTr="00CC271E">
        <w:trPr>
          <w:trHeight w:val="492"/>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407676">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Název časopisu</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407676">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ISSN:</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407676">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Normované pořadí</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Akustika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1801-9064</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0,8000</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D40F4F" w:rsidRDefault="00407676" w:rsidP="00407676">
            <w:pPr>
              <w:spacing w:after="0" w:line="240" w:lineRule="auto"/>
            </w:pPr>
            <w:r w:rsidRPr="00D40F4F">
              <w:t>APPLIED ENERGY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D40F4F" w:rsidRDefault="00407676" w:rsidP="00407676">
            <w:pPr>
              <w:spacing w:after="0" w:line="240" w:lineRule="auto"/>
              <w:jc w:val="center"/>
            </w:pPr>
            <w:r w:rsidRPr="00D40F4F">
              <w:t>0306-2619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D40F4F">
              <w:t>0,0154</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gramStart"/>
            <w:r w:rsidRPr="00C55DC5">
              <w:t xml:space="preserve">Communications - </w:t>
            </w:r>
            <w:proofErr w:type="spellStart"/>
            <w:r w:rsidRPr="00C55DC5">
              <w:t>Scientific</w:t>
            </w:r>
            <w:proofErr w:type="spellEnd"/>
            <w:proofErr w:type="gramEnd"/>
            <w:r w:rsidRPr="00C55DC5">
              <w:t xml:space="preserve"> </w:t>
            </w:r>
            <w:proofErr w:type="spellStart"/>
            <w:r w:rsidRPr="00C55DC5">
              <w:t>Letters</w:t>
            </w:r>
            <w:proofErr w:type="spellEnd"/>
            <w:r w:rsidRPr="00C55DC5">
              <w:t xml:space="preserve"> </w:t>
            </w:r>
            <w:proofErr w:type="spellStart"/>
            <w:r w:rsidRPr="00C55DC5">
              <w:t>of</w:t>
            </w:r>
            <w:proofErr w:type="spellEnd"/>
            <w:r w:rsidRPr="00C55DC5">
              <w:t xml:space="preserve"> </w:t>
            </w:r>
            <w:proofErr w:type="spellStart"/>
            <w:r w:rsidRPr="00C55DC5">
              <w:t>the</w:t>
            </w:r>
            <w:proofErr w:type="spellEnd"/>
            <w:r w:rsidRPr="00C55DC5">
              <w:t xml:space="preserve"> University </w:t>
            </w:r>
            <w:proofErr w:type="spellStart"/>
            <w:r w:rsidRPr="00C55DC5">
              <w:t>of</w:t>
            </w:r>
            <w:proofErr w:type="spellEnd"/>
            <w:r w:rsidRPr="00C55DC5">
              <w:t xml:space="preserve"> </w:t>
            </w:r>
            <w:proofErr w:type="spellStart"/>
            <w:r w:rsidRPr="00C55DC5">
              <w:t>Zilina</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1335-4205</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0,4425</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216601" w:rsidRDefault="00407676" w:rsidP="00407676">
            <w:pPr>
              <w:spacing w:after="0" w:line="240" w:lineRule="auto"/>
            </w:pPr>
            <w:proofErr w:type="spellStart"/>
            <w:r w:rsidRPr="00216601">
              <w:t>Complexity</w:t>
            </w:r>
            <w:proofErr w:type="spellEnd"/>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216601" w:rsidRDefault="00407676" w:rsidP="00407676">
            <w:pPr>
              <w:spacing w:after="0" w:line="240" w:lineRule="auto"/>
              <w:jc w:val="center"/>
            </w:pPr>
            <w:r w:rsidRPr="00216601">
              <w:t>1076-2787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216601">
              <w:t>0,1239</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Data in </w:t>
            </w:r>
            <w:proofErr w:type="spellStart"/>
            <w:r w:rsidRPr="00C55DC5">
              <w:t>Brief</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2352-3409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0,3631</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Chemical</w:t>
            </w:r>
            <w:proofErr w:type="spellEnd"/>
            <w:r w:rsidRPr="00C55DC5">
              <w:t xml:space="preserve"> </w:t>
            </w:r>
            <w:proofErr w:type="spellStart"/>
            <w:r w:rsidRPr="00C55DC5">
              <w:t>Engineering</w:t>
            </w:r>
            <w:proofErr w:type="spellEnd"/>
            <w:r w:rsidRPr="00C55DC5">
              <w:t xml:space="preserve"> </w:t>
            </w:r>
            <w:proofErr w:type="spellStart"/>
            <w:r w:rsidRPr="00C55DC5">
              <w:t>Transactions</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2283-9216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0,3612</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0B65EE" w:rsidRDefault="00407676" w:rsidP="00407676">
            <w:pPr>
              <w:spacing w:after="0" w:line="240" w:lineRule="auto"/>
            </w:pPr>
            <w:r w:rsidRPr="000B65EE">
              <w:t>IEEE Access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0B65EE" w:rsidRDefault="00407676" w:rsidP="00407676">
            <w:pPr>
              <w:spacing w:after="0" w:line="240" w:lineRule="auto"/>
              <w:jc w:val="center"/>
            </w:pPr>
            <w:r w:rsidRPr="000B65EE">
              <w:t>2169-3536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0B65EE">
              <w:t>0,2507</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International </w:t>
            </w:r>
            <w:proofErr w:type="spellStart"/>
            <w:r w:rsidRPr="00C55DC5">
              <w:t>Journal</w:t>
            </w:r>
            <w:proofErr w:type="spellEnd"/>
            <w:r w:rsidRPr="00C55DC5">
              <w:t xml:space="preserve"> </w:t>
            </w:r>
            <w:proofErr w:type="spellStart"/>
            <w:r w:rsidRPr="00C55DC5">
              <w:t>of</w:t>
            </w:r>
            <w:proofErr w:type="spellEnd"/>
            <w:r w:rsidRPr="00C55DC5">
              <w:t xml:space="preserve"> Biology and </w:t>
            </w:r>
            <w:proofErr w:type="spellStart"/>
            <w:r w:rsidRPr="00C55DC5">
              <w:t>Biomedical</w:t>
            </w:r>
            <w:proofErr w:type="spellEnd"/>
            <w:r w:rsidRPr="00C55DC5">
              <w:t xml:space="preserve"> </w:t>
            </w:r>
            <w:proofErr w:type="spellStart"/>
            <w:r w:rsidRPr="00C55DC5">
              <w:t>Engineering</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1998-4510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0,8926</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6D5009" w:rsidRDefault="00407676" w:rsidP="00407676">
            <w:pPr>
              <w:spacing w:after="0" w:line="240" w:lineRule="auto"/>
            </w:pPr>
            <w:r w:rsidRPr="006D5009">
              <w:t xml:space="preserve">International </w:t>
            </w:r>
            <w:proofErr w:type="spellStart"/>
            <w:r w:rsidRPr="006D5009">
              <w:t>Journal</w:t>
            </w:r>
            <w:proofErr w:type="spellEnd"/>
            <w:r w:rsidRPr="006D5009">
              <w:t xml:space="preserve"> </w:t>
            </w:r>
            <w:proofErr w:type="spellStart"/>
            <w:r>
              <w:t>o</w:t>
            </w:r>
            <w:r w:rsidRPr="006D5009">
              <w:t>f</w:t>
            </w:r>
            <w:proofErr w:type="spellEnd"/>
            <w:r w:rsidRPr="006D5009">
              <w:t xml:space="preserve"> </w:t>
            </w:r>
            <w:proofErr w:type="spellStart"/>
            <w:r w:rsidRPr="006D5009">
              <w:t>Control</w:t>
            </w:r>
            <w:proofErr w:type="spellEnd"/>
            <w:r w:rsidRPr="006D5009">
              <w:t xml:space="preserve"> </w:t>
            </w:r>
            <w:proofErr w:type="spellStart"/>
            <w:r w:rsidRPr="006D5009">
              <w:t>Automation</w:t>
            </w:r>
            <w:proofErr w:type="spellEnd"/>
            <w:r w:rsidRPr="006D5009">
              <w:t xml:space="preserve"> </w:t>
            </w:r>
            <w:r>
              <w:t>a</w:t>
            </w:r>
            <w:r w:rsidRPr="006D5009">
              <w:t>nd Systems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6D5009" w:rsidRDefault="00407676" w:rsidP="00407676">
            <w:pPr>
              <w:spacing w:after="0" w:line="240" w:lineRule="auto"/>
              <w:jc w:val="center"/>
            </w:pPr>
            <w:r w:rsidRPr="006D5009">
              <w:t>1598-6446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6D5009">
              <w:t>0,3186</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International </w:t>
            </w:r>
            <w:proofErr w:type="spellStart"/>
            <w:r w:rsidRPr="00C55DC5">
              <w:t>Journal</w:t>
            </w:r>
            <w:proofErr w:type="spellEnd"/>
            <w:r w:rsidRPr="00C55DC5">
              <w:t xml:space="preserve"> </w:t>
            </w:r>
            <w:proofErr w:type="spellStart"/>
            <w:r w:rsidRPr="00C55DC5">
              <w:t>of</w:t>
            </w:r>
            <w:proofErr w:type="spellEnd"/>
            <w:r w:rsidRPr="00C55DC5">
              <w:t xml:space="preserve"> </w:t>
            </w:r>
            <w:proofErr w:type="spellStart"/>
            <w:r w:rsidRPr="00C55DC5">
              <w:t>Circuits</w:t>
            </w:r>
            <w:proofErr w:type="spellEnd"/>
            <w:r w:rsidRPr="00C55DC5">
              <w:t xml:space="preserve">, Systems and </w:t>
            </w:r>
            <w:proofErr w:type="spellStart"/>
            <w:r w:rsidRPr="00C55DC5">
              <w:t>Signal</w:t>
            </w:r>
            <w:proofErr w:type="spellEnd"/>
            <w:r w:rsidRPr="00C55DC5">
              <w:t xml:space="preserve"> </w:t>
            </w:r>
            <w:proofErr w:type="spellStart"/>
            <w:r w:rsidRPr="00C55DC5">
              <w:t>Processing</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1998-4464</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0,8683</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International </w:t>
            </w:r>
            <w:proofErr w:type="spellStart"/>
            <w:r w:rsidRPr="00C55DC5">
              <w:t>Journal</w:t>
            </w:r>
            <w:proofErr w:type="spellEnd"/>
            <w:r w:rsidRPr="00C55DC5">
              <w:t xml:space="preserve"> </w:t>
            </w:r>
            <w:proofErr w:type="spellStart"/>
            <w:r w:rsidRPr="00C55DC5">
              <w:t>of</w:t>
            </w:r>
            <w:proofErr w:type="spellEnd"/>
            <w:r w:rsidRPr="00C55DC5">
              <w:t xml:space="preserve"> </w:t>
            </w:r>
            <w:proofErr w:type="spellStart"/>
            <w:r w:rsidRPr="00C55DC5">
              <w:t>Electronics</w:t>
            </w:r>
            <w:proofErr w:type="spellEnd"/>
            <w:r w:rsidRPr="00C55DC5">
              <w:t xml:space="preserve"> and </w:t>
            </w:r>
            <w:proofErr w:type="spellStart"/>
            <w:r w:rsidRPr="00C55DC5">
              <w:t>Telecommunications</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2081-8491</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0,6204</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International </w:t>
            </w:r>
            <w:proofErr w:type="spellStart"/>
            <w:r w:rsidRPr="00C55DC5">
              <w:t>Journal</w:t>
            </w:r>
            <w:proofErr w:type="spellEnd"/>
            <w:r w:rsidRPr="00C55DC5">
              <w:t xml:space="preserve"> </w:t>
            </w:r>
            <w:proofErr w:type="spellStart"/>
            <w:r w:rsidRPr="00C55DC5">
              <w:t>of</w:t>
            </w:r>
            <w:proofErr w:type="spellEnd"/>
            <w:r w:rsidRPr="00C55DC5">
              <w:t xml:space="preserve"> </w:t>
            </w:r>
            <w:proofErr w:type="spellStart"/>
            <w:r w:rsidRPr="00C55DC5">
              <w:t>Mechanics</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1998-4448</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0,5238</w:t>
            </w:r>
          </w:p>
        </w:tc>
      </w:tr>
      <w:tr w:rsidR="009B1C7F" w:rsidRPr="00EE01FC" w:rsidTr="00CC271E">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International </w:t>
            </w:r>
            <w:proofErr w:type="spellStart"/>
            <w:r w:rsidRPr="00C55DC5">
              <w:t>Journal</w:t>
            </w:r>
            <w:proofErr w:type="spellEnd"/>
            <w:r w:rsidRPr="00C55DC5">
              <w:t xml:space="preserve"> on </w:t>
            </w:r>
            <w:proofErr w:type="spellStart"/>
            <w:r w:rsidRPr="00C55DC5">
              <w:t>Advanced</w:t>
            </w:r>
            <w:proofErr w:type="spellEnd"/>
            <w:r w:rsidRPr="00C55DC5">
              <w:t xml:space="preserve"> Science, </w:t>
            </w:r>
            <w:proofErr w:type="spellStart"/>
            <w:r w:rsidRPr="00C55DC5">
              <w:t>Engineering</w:t>
            </w:r>
            <w:proofErr w:type="spellEnd"/>
            <w:r w:rsidRPr="00C55DC5">
              <w:t xml:space="preserve"> and </w:t>
            </w:r>
            <w:proofErr w:type="spellStart"/>
            <w:r w:rsidRPr="00C55DC5">
              <w:t>Information</w:t>
            </w:r>
            <w:proofErr w:type="spellEnd"/>
            <w:r w:rsidRPr="00C55DC5">
              <w:t xml:space="preserve"> Technology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2088-5334</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0,4527</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Journal</w:t>
            </w:r>
            <w:proofErr w:type="spellEnd"/>
            <w:r w:rsidRPr="00C55DC5">
              <w:t xml:space="preserve"> </w:t>
            </w:r>
            <w:proofErr w:type="spellStart"/>
            <w:r w:rsidRPr="00C55DC5">
              <w:t>of</w:t>
            </w:r>
            <w:proofErr w:type="spellEnd"/>
            <w:r w:rsidRPr="00C55DC5">
              <w:t xml:space="preserve"> </w:t>
            </w:r>
            <w:proofErr w:type="spellStart"/>
            <w:r w:rsidRPr="00C55DC5">
              <w:t>Applied</w:t>
            </w:r>
            <w:proofErr w:type="spellEnd"/>
            <w:r w:rsidRPr="00C55DC5">
              <w:t xml:space="preserve"> </w:t>
            </w:r>
            <w:proofErr w:type="spellStart"/>
            <w:r w:rsidRPr="00C55DC5">
              <w:t>Engineering</w:t>
            </w:r>
            <w:proofErr w:type="spellEnd"/>
            <w:r w:rsidRPr="00C55DC5">
              <w:t xml:space="preserve"> Science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1451-4117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0,7662</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Journal</w:t>
            </w:r>
            <w:proofErr w:type="spellEnd"/>
            <w:r w:rsidRPr="00C55DC5">
              <w:t xml:space="preserve"> </w:t>
            </w:r>
            <w:proofErr w:type="spellStart"/>
            <w:r w:rsidRPr="00C55DC5">
              <w:t>of</w:t>
            </w:r>
            <w:proofErr w:type="spellEnd"/>
            <w:r w:rsidRPr="00C55DC5">
              <w:t xml:space="preserve"> </w:t>
            </w:r>
            <w:proofErr w:type="spellStart"/>
            <w:r w:rsidRPr="00C55DC5">
              <w:t>Information</w:t>
            </w:r>
            <w:proofErr w:type="spellEnd"/>
            <w:r w:rsidRPr="00C55DC5">
              <w:t xml:space="preserve"> and </w:t>
            </w:r>
            <w:proofErr w:type="spellStart"/>
            <w:r w:rsidRPr="00C55DC5">
              <w:t>Knowledge</w:t>
            </w:r>
            <w:proofErr w:type="spellEnd"/>
            <w:r w:rsidRPr="00C55DC5">
              <w:t xml:space="preserve"> Management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0219-6492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0,6976</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Materials</w:t>
            </w:r>
            <w:proofErr w:type="spellEnd"/>
            <w:r w:rsidRPr="00C55DC5">
              <w:t xml:space="preserve"> Science </w:t>
            </w:r>
            <w:proofErr w:type="spellStart"/>
            <w:r w:rsidRPr="00C55DC5">
              <w:t>Forum</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0255-5476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0,8268</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B7431D" w:rsidRDefault="00407676" w:rsidP="00407676">
            <w:pPr>
              <w:spacing w:after="0" w:line="240" w:lineRule="auto"/>
            </w:pPr>
            <w:proofErr w:type="spellStart"/>
            <w:r w:rsidRPr="00B7431D">
              <w:t>Mathematical</w:t>
            </w:r>
            <w:proofErr w:type="spellEnd"/>
            <w:r w:rsidRPr="00B7431D">
              <w:t xml:space="preserve"> </w:t>
            </w:r>
            <w:proofErr w:type="spellStart"/>
            <w:r w:rsidRPr="00B7431D">
              <w:t>Problems</w:t>
            </w:r>
            <w:proofErr w:type="spellEnd"/>
            <w:r w:rsidRPr="00B7431D">
              <w:t xml:space="preserve"> in </w:t>
            </w:r>
            <w:proofErr w:type="spellStart"/>
            <w:r w:rsidRPr="00B7431D">
              <w:t>Engineering</w:t>
            </w:r>
            <w:proofErr w:type="spellEnd"/>
            <w:r w:rsidRPr="00B7431D">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B7431D" w:rsidRDefault="00407676" w:rsidP="00407676">
            <w:pPr>
              <w:spacing w:after="0" w:line="240" w:lineRule="auto"/>
              <w:jc w:val="center"/>
            </w:pPr>
            <w:proofErr w:type="gramStart"/>
            <w:r w:rsidRPr="00B7431D">
              <w:t>1024-123X</w:t>
            </w:r>
            <w:proofErr w:type="gramEnd"/>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B7431D">
              <w:t>0,4927</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MM Science </w:t>
            </w:r>
            <w:proofErr w:type="spellStart"/>
            <w:r w:rsidRPr="00C55DC5">
              <w:t>Journal</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1803-1269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0,5681</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Polish</w:t>
            </w:r>
            <w:proofErr w:type="spellEnd"/>
            <w:r w:rsidRPr="00C55DC5">
              <w:t xml:space="preserve"> </w:t>
            </w:r>
            <w:proofErr w:type="spellStart"/>
            <w:r w:rsidRPr="00C55DC5">
              <w:t>Journal</w:t>
            </w:r>
            <w:proofErr w:type="spellEnd"/>
            <w:r w:rsidRPr="00C55DC5">
              <w:t xml:space="preserve"> </w:t>
            </w:r>
            <w:proofErr w:type="spellStart"/>
            <w:r w:rsidRPr="00C55DC5">
              <w:t>of</w:t>
            </w:r>
            <w:proofErr w:type="spellEnd"/>
            <w:r w:rsidRPr="00C55DC5">
              <w:t xml:space="preserve"> Management </w:t>
            </w:r>
            <w:proofErr w:type="spellStart"/>
            <w:r w:rsidRPr="00C55DC5">
              <w:t>Studies</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2081-7452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0,5496</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Przeglad</w:t>
            </w:r>
            <w:proofErr w:type="spellEnd"/>
            <w:r w:rsidRPr="00C55DC5">
              <w:t xml:space="preserve"> </w:t>
            </w:r>
            <w:proofErr w:type="spellStart"/>
            <w:r w:rsidRPr="00C55DC5">
              <w:t>Elektrotechniczny</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0033-2097</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0,6583</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proofErr w:type="spellStart"/>
            <w:r w:rsidRPr="00C55DC5">
              <w:t>Studies</w:t>
            </w:r>
            <w:proofErr w:type="spellEnd"/>
            <w:r w:rsidRPr="00C55DC5">
              <w:t xml:space="preserve"> in </w:t>
            </w:r>
            <w:proofErr w:type="spellStart"/>
            <w:r w:rsidRPr="00C55DC5">
              <w:t>Computational</w:t>
            </w:r>
            <w:proofErr w:type="spellEnd"/>
            <w:r w:rsidRPr="00C55DC5">
              <w:t xml:space="preserve"> </w:t>
            </w:r>
            <w:proofErr w:type="spellStart"/>
            <w:r w:rsidRPr="00C55DC5">
              <w:t>Intelligence</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proofErr w:type="gramStart"/>
            <w:r w:rsidRPr="00C55DC5">
              <w:t>1860-949X</w:t>
            </w:r>
            <w:proofErr w:type="gramEnd"/>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0,7345</w:t>
            </w:r>
          </w:p>
        </w:tc>
      </w:tr>
      <w:tr w:rsidR="00407676"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407676" w:rsidRPr="008320EE" w:rsidRDefault="00407676" w:rsidP="00407676">
            <w:pPr>
              <w:spacing w:after="0" w:line="240" w:lineRule="auto"/>
            </w:pPr>
            <w:proofErr w:type="spellStart"/>
            <w:r w:rsidRPr="008320EE">
              <w:t>Transactions</w:t>
            </w:r>
            <w:proofErr w:type="spellEnd"/>
            <w:r w:rsidRPr="008320EE">
              <w:t xml:space="preserve"> </w:t>
            </w:r>
            <w:proofErr w:type="spellStart"/>
            <w:r w:rsidRPr="008320EE">
              <w:t>of</w:t>
            </w:r>
            <w:proofErr w:type="spellEnd"/>
            <w:r w:rsidRPr="008320EE">
              <w:t xml:space="preserve"> </w:t>
            </w:r>
            <w:proofErr w:type="spellStart"/>
            <w:r w:rsidRPr="008320EE">
              <w:t>the</w:t>
            </w:r>
            <w:proofErr w:type="spellEnd"/>
            <w:r w:rsidRPr="008320EE">
              <w:t xml:space="preserve"> Institute </w:t>
            </w:r>
            <w:proofErr w:type="spellStart"/>
            <w:r w:rsidRPr="008320EE">
              <w:t>of</w:t>
            </w:r>
            <w:proofErr w:type="spellEnd"/>
            <w:r w:rsidRPr="008320EE">
              <w:t xml:space="preserve"> </w:t>
            </w:r>
            <w:proofErr w:type="spellStart"/>
            <w:r w:rsidRPr="008320EE">
              <w:t>Measurement</w:t>
            </w:r>
            <w:proofErr w:type="spellEnd"/>
            <w:r w:rsidRPr="008320EE">
              <w:t xml:space="preserve"> and </w:t>
            </w:r>
            <w:proofErr w:type="spellStart"/>
            <w:r w:rsidRPr="008320EE">
              <w:t>Control</w:t>
            </w:r>
            <w:proofErr w:type="spellEnd"/>
            <w:r w:rsidRPr="008320EE">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407676" w:rsidRPr="008320EE" w:rsidRDefault="00407676" w:rsidP="00407676">
            <w:pPr>
              <w:spacing w:after="0" w:line="240" w:lineRule="auto"/>
              <w:jc w:val="center"/>
            </w:pPr>
            <w:r w:rsidRPr="008320EE">
              <w:t>0142-3312</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407676" w:rsidRDefault="00407676" w:rsidP="00407676">
            <w:pPr>
              <w:spacing w:after="0" w:line="240" w:lineRule="auto"/>
              <w:jc w:val="center"/>
            </w:pPr>
            <w:r w:rsidRPr="008320EE">
              <w:t>0,4741</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WSEAS </w:t>
            </w:r>
            <w:proofErr w:type="spellStart"/>
            <w:r w:rsidRPr="00C55DC5">
              <w:t>Transactions</w:t>
            </w:r>
            <w:proofErr w:type="spellEnd"/>
            <w:r w:rsidRPr="00C55DC5">
              <w:t xml:space="preserve"> on Business and </w:t>
            </w:r>
            <w:proofErr w:type="spellStart"/>
            <w:r w:rsidRPr="00C55DC5">
              <w:t>Economics</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1109-9526</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0,8151</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WSEAS </w:t>
            </w:r>
            <w:proofErr w:type="spellStart"/>
            <w:r w:rsidRPr="00C55DC5">
              <w:t>Transactions</w:t>
            </w:r>
            <w:proofErr w:type="spellEnd"/>
            <w:r w:rsidRPr="00C55DC5">
              <w:t xml:space="preserve"> on </w:t>
            </w:r>
            <w:proofErr w:type="spellStart"/>
            <w:r w:rsidRPr="00C55DC5">
              <w:t>Environment</w:t>
            </w:r>
            <w:proofErr w:type="spellEnd"/>
            <w:r w:rsidRPr="00C55DC5">
              <w:t xml:space="preserve"> and </w:t>
            </w:r>
            <w:proofErr w:type="spellStart"/>
            <w:r w:rsidRPr="00C55DC5">
              <w:t>Development</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1790-5079</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0,7009</w:t>
            </w:r>
          </w:p>
        </w:tc>
      </w:tr>
      <w:tr w:rsidR="009B1C7F" w:rsidRPr="00EE01FC" w:rsidTr="00407676">
        <w:trPr>
          <w:trHeight w:val="397"/>
        </w:trPr>
        <w:tc>
          <w:tcPr>
            <w:tcW w:w="6551"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pPr>
            <w:r w:rsidRPr="00C55DC5">
              <w:t xml:space="preserve">WSEAS </w:t>
            </w:r>
            <w:proofErr w:type="spellStart"/>
            <w:r w:rsidRPr="00C55DC5">
              <w:t>Transactions</w:t>
            </w:r>
            <w:proofErr w:type="spellEnd"/>
            <w:r w:rsidRPr="00C55DC5">
              <w:t xml:space="preserve"> on Systems and </w:t>
            </w:r>
            <w:proofErr w:type="spellStart"/>
            <w:r w:rsidRPr="00C55DC5">
              <w:t>Control</w:t>
            </w:r>
            <w:proofErr w:type="spellEnd"/>
            <w:r w:rsidRPr="00C55DC5">
              <w:t> </w:t>
            </w:r>
          </w:p>
        </w:tc>
        <w:tc>
          <w:tcPr>
            <w:tcW w:w="1276" w:type="dxa"/>
            <w:tcBorders>
              <w:top w:val="single" w:sz="6" w:space="0" w:color="000000"/>
              <w:left w:val="single" w:sz="6" w:space="0" w:color="000000"/>
              <w:bottom w:val="single" w:sz="6" w:space="0" w:color="000000"/>
              <w:right w:val="single" w:sz="6" w:space="0" w:color="000000"/>
            </w:tcBorders>
            <w:shd w:val="solid" w:color="FFFFFF" w:fill="auto"/>
          </w:tcPr>
          <w:p w:rsidR="009B1C7F" w:rsidRPr="00C55DC5" w:rsidRDefault="009B1C7F" w:rsidP="00407676">
            <w:pPr>
              <w:spacing w:after="0" w:line="240" w:lineRule="auto"/>
              <w:jc w:val="center"/>
            </w:pPr>
            <w:r w:rsidRPr="00C55DC5">
              <w:t>1991-8763</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9B1C7F" w:rsidRDefault="009B1C7F" w:rsidP="00407676">
            <w:pPr>
              <w:spacing w:after="0" w:line="240" w:lineRule="auto"/>
              <w:jc w:val="center"/>
            </w:pPr>
            <w:r w:rsidRPr="00C55DC5">
              <w:t>0,8547</w:t>
            </w:r>
          </w:p>
        </w:tc>
      </w:tr>
    </w:tbl>
    <w:p w:rsidR="00277547" w:rsidRPr="00572196" w:rsidRDefault="00277547" w:rsidP="004555BE">
      <w:pPr>
        <w:rPr>
          <w:lang w:eastAsia="cs-CZ"/>
        </w:rPr>
      </w:pPr>
    </w:p>
    <w:sectPr w:rsidR="00277547" w:rsidRPr="00572196" w:rsidSect="004555B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642"/>
    <w:multiLevelType w:val="hybridMultilevel"/>
    <w:tmpl w:val="15407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36024"/>
    <w:multiLevelType w:val="hybridMultilevel"/>
    <w:tmpl w:val="C3E6C6B8"/>
    <w:lvl w:ilvl="0" w:tplc="511E420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920C8"/>
    <w:multiLevelType w:val="hybridMultilevel"/>
    <w:tmpl w:val="825C8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0849EF"/>
    <w:multiLevelType w:val="hybridMultilevel"/>
    <w:tmpl w:val="4770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8155DC"/>
    <w:multiLevelType w:val="hybridMultilevel"/>
    <w:tmpl w:val="3CC8307C"/>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BF0A40"/>
    <w:multiLevelType w:val="hybridMultilevel"/>
    <w:tmpl w:val="0DAE2F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457D39"/>
    <w:multiLevelType w:val="hybridMultilevel"/>
    <w:tmpl w:val="CA8C0310"/>
    <w:lvl w:ilvl="0" w:tplc="D03E5562">
      <w:start w:val="1"/>
      <w:numFmt w:val="decimal"/>
      <w:lvlText w:val="%1."/>
      <w:lvlJc w:val="left"/>
      <w:pPr>
        <w:ind w:left="720"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1F139C"/>
    <w:multiLevelType w:val="hybridMultilevel"/>
    <w:tmpl w:val="BDFC15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F51DD5"/>
    <w:multiLevelType w:val="hybridMultilevel"/>
    <w:tmpl w:val="63262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59118B"/>
    <w:multiLevelType w:val="hybridMultilevel"/>
    <w:tmpl w:val="3A982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C97942"/>
    <w:multiLevelType w:val="hybridMultilevel"/>
    <w:tmpl w:val="65AE4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363D8B"/>
    <w:multiLevelType w:val="hybridMultilevel"/>
    <w:tmpl w:val="78CA7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0B4DD6"/>
    <w:multiLevelType w:val="hybridMultilevel"/>
    <w:tmpl w:val="A8C4DCC8"/>
    <w:lvl w:ilvl="0" w:tplc="842E70F4">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0"/>
  </w:num>
  <w:num w:numId="5">
    <w:abstractNumId w:val="1"/>
  </w:num>
  <w:num w:numId="6">
    <w:abstractNumId w:val="4"/>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8B"/>
    <w:rsid w:val="00002CD9"/>
    <w:rsid w:val="0003512F"/>
    <w:rsid w:val="00061D8F"/>
    <w:rsid w:val="00075F20"/>
    <w:rsid w:val="00087411"/>
    <w:rsid w:val="000D3366"/>
    <w:rsid w:val="00123E0C"/>
    <w:rsid w:val="00126C59"/>
    <w:rsid w:val="001555B8"/>
    <w:rsid w:val="001729E2"/>
    <w:rsid w:val="001A10B1"/>
    <w:rsid w:val="001C0E92"/>
    <w:rsid w:val="001D4A61"/>
    <w:rsid w:val="001E70FE"/>
    <w:rsid w:val="00203C88"/>
    <w:rsid w:val="002660F3"/>
    <w:rsid w:val="00266426"/>
    <w:rsid w:val="00277547"/>
    <w:rsid w:val="002A421D"/>
    <w:rsid w:val="002A5372"/>
    <w:rsid w:val="002C5C1B"/>
    <w:rsid w:val="002D67E0"/>
    <w:rsid w:val="002E133B"/>
    <w:rsid w:val="00327306"/>
    <w:rsid w:val="00342864"/>
    <w:rsid w:val="00376FE1"/>
    <w:rsid w:val="003770FF"/>
    <w:rsid w:val="00401724"/>
    <w:rsid w:val="004046E4"/>
    <w:rsid w:val="00407676"/>
    <w:rsid w:val="004555BE"/>
    <w:rsid w:val="004A1001"/>
    <w:rsid w:val="004A5B4C"/>
    <w:rsid w:val="004B0A1B"/>
    <w:rsid w:val="004C3AA5"/>
    <w:rsid w:val="004E0109"/>
    <w:rsid w:val="00510D15"/>
    <w:rsid w:val="00572196"/>
    <w:rsid w:val="00582636"/>
    <w:rsid w:val="005D3720"/>
    <w:rsid w:val="005F4BA2"/>
    <w:rsid w:val="00603E10"/>
    <w:rsid w:val="00615D03"/>
    <w:rsid w:val="00630408"/>
    <w:rsid w:val="00707316"/>
    <w:rsid w:val="00713A87"/>
    <w:rsid w:val="00717D36"/>
    <w:rsid w:val="00741BC9"/>
    <w:rsid w:val="00747EDE"/>
    <w:rsid w:val="00764CF8"/>
    <w:rsid w:val="007A2361"/>
    <w:rsid w:val="007C1E2B"/>
    <w:rsid w:val="007C7D53"/>
    <w:rsid w:val="007F7567"/>
    <w:rsid w:val="00814E8A"/>
    <w:rsid w:val="00850B28"/>
    <w:rsid w:val="008958E0"/>
    <w:rsid w:val="0089640D"/>
    <w:rsid w:val="00910FCC"/>
    <w:rsid w:val="00932FC8"/>
    <w:rsid w:val="0093354E"/>
    <w:rsid w:val="00943F37"/>
    <w:rsid w:val="00962A75"/>
    <w:rsid w:val="0097406F"/>
    <w:rsid w:val="009B1C7F"/>
    <w:rsid w:val="009C1091"/>
    <w:rsid w:val="009C4F30"/>
    <w:rsid w:val="00A1054C"/>
    <w:rsid w:val="00A54097"/>
    <w:rsid w:val="00A5743A"/>
    <w:rsid w:val="00AB0D37"/>
    <w:rsid w:val="00B22E82"/>
    <w:rsid w:val="00B41B18"/>
    <w:rsid w:val="00BD74DF"/>
    <w:rsid w:val="00BF1316"/>
    <w:rsid w:val="00C43B67"/>
    <w:rsid w:val="00C73817"/>
    <w:rsid w:val="00C94083"/>
    <w:rsid w:val="00CC33FF"/>
    <w:rsid w:val="00D07E91"/>
    <w:rsid w:val="00D1728B"/>
    <w:rsid w:val="00D175DF"/>
    <w:rsid w:val="00D44DF8"/>
    <w:rsid w:val="00D4547D"/>
    <w:rsid w:val="00D646B6"/>
    <w:rsid w:val="00DA5284"/>
    <w:rsid w:val="00DD39CD"/>
    <w:rsid w:val="00E11645"/>
    <w:rsid w:val="00E230C0"/>
    <w:rsid w:val="00E73FDC"/>
    <w:rsid w:val="00E764EF"/>
    <w:rsid w:val="00E96B86"/>
    <w:rsid w:val="00F44267"/>
    <w:rsid w:val="00F4633C"/>
    <w:rsid w:val="00F605A2"/>
    <w:rsid w:val="00F71B3E"/>
    <w:rsid w:val="00FB188B"/>
    <w:rsid w:val="00FB20EC"/>
    <w:rsid w:val="00FB4775"/>
    <w:rsid w:val="00FC458A"/>
    <w:rsid w:val="00FD2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B9E57-F0E5-754B-8724-D9CD6922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4CF8"/>
  </w:style>
  <w:style w:type="paragraph" w:styleId="Nadpis1">
    <w:name w:val="heading 1"/>
    <w:basedOn w:val="Normln"/>
    <w:next w:val="Normln"/>
    <w:link w:val="Nadpis1Char"/>
    <w:uiPriority w:val="9"/>
    <w:qFormat/>
    <w:rsid w:val="00C94083"/>
    <w:pPr>
      <w:keepNext/>
      <w:keepLines/>
      <w:numPr>
        <w:numId w:val="7"/>
      </w:numPr>
      <w:spacing w:before="480" w:after="0"/>
      <w:ind w:hanging="720"/>
      <w:outlineLvl w:val="0"/>
    </w:pPr>
    <w:rPr>
      <w:rFonts w:asciiTheme="majorHAnsi" w:eastAsia="Times New Roman"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unhideWhenUsed/>
    <w:qFormat/>
    <w:rsid w:val="00061D8F"/>
    <w:pPr>
      <w:keepNext/>
      <w:keepLines/>
      <w:spacing w:before="200" w:after="120"/>
      <w:jc w:val="both"/>
      <w:outlineLvl w:val="1"/>
    </w:pPr>
    <w:rPr>
      <w:rFonts w:asciiTheme="majorHAnsi" w:eastAsia="Times New Roman" w:hAnsiTheme="majorHAnsi" w:cstheme="majorBidi"/>
      <w:b/>
      <w:bCs/>
      <w:color w:val="4F81BD" w:themeColor="accent1"/>
      <w:sz w:val="26"/>
      <w:szCs w:val="26"/>
      <w:lang w:eastAsia="cs-CZ"/>
    </w:rPr>
  </w:style>
  <w:style w:type="paragraph" w:styleId="Nadpis3">
    <w:name w:val="heading 3"/>
    <w:basedOn w:val="Normln"/>
    <w:next w:val="Normln"/>
    <w:link w:val="Nadpis3Char"/>
    <w:uiPriority w:val="9"/>
    <w:unhideWhenUsed/>
    <w:qFormat/>
    <w:rsid w:val="00B41B1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62A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728B"/>
    <w:pPr>
      <w:ind w:left="720"/>
      <w:contextualSpacing/>
    </w:pPr>
  </w:style>
  <w:style w:type="character" w:styleId="Hypertextovodkaz">
    <w:name w:val="Hyperlink"/>
    <w:basedOn w:val="Standardnpsmoodstavce"/>
    <w:uiPriority w:val="99"/>
    <w:unhideWhenUsed/>
    <w:rsid w:val="00D1728B"/>
    <w:rPr>
      <w:color w:val="0000FF" w:themeColor="hyperlink"/>
      <w:u w:val="single"/>
    </w:rPr>
  </w:style>
  <w:style w:type="paragraph" w:styleId="Textbubliny">
    <w:name w:val="Balloon Text"/>
    <w:basedOn w:val="Normln"/>
    <w:link w:val="TextbublinyChar"/>
    <w:uiPriority w:val="99"/>
    <w:semiHidden/>
    <w:unhideWhenUsed/>
    <w:rsid w:val="00D172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728B"/>
    <w:rPr>
      <w:rFonts w:ascii="Tahoma" w:hAnsi="Tahoma" w:cs="Tahoma"/>
      <w:sz w:val="16"/>
      <w:szCs w:val="16"/>
    </w:rPr>
  </w:style>
  <w:style w:type="character" w:styleId="Sledovanodkaz">
    <w:name w:val="FollowedHyperlink"/>
    <w:basedOn w:val="Standardnpsmoodstavce"/>
    <w:uiPriority w:val="99"/>
    <w:semiHidden/>
    <w:unhideWhenUsed/>
    <w:rsid w:val="00126C59"/>
    <w:rPr>
      <w:color w:val="800080" w:themeColor="followedHyperlink"/>
      <w:u w:val="single"/>
    </w:rPr>
  </w:style>
  <w:style w:type="character" w:customStyle="1" w:styleId="Nadpis1Char">
    <w:name w:val="Nadpis 1 Char"/>
    <w:basedOn w:val="Standardnpsmoodstavce"/>
    <w:link w:val="Nadpis1"/>
    <w:uiPriority w:val="9"/>
    <w:rsid w:val="00C94083"/>
    <w:rPr>
      <w:rFonts w:asciiTheme="majorHAnsi" w:eastAsia="Times New Roman"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061D8F"/>
    <w:rPr>
      <w:rFonts w:asciiTheme="majorHAnsi" w:eastAsia="Times New Roman" w:hAnsiTheme="majorHAnsi" w:cstheme="majorBidi"/>
      <w:b/>
      <w:bCs/>
      <w:color w:val="4F81BD" w:themeColor="accent1"/>
      <w:sz w:val="26"/>
      <w:szCs w:val="26"/>
      <w:lang w:eastAsia="cs-CZ"/>
    </w:rPr>
  </w:style>
  <w:style w:type="paragraph" w:styleId="Nzev">
    <w:name w:val="Title"/>
    <w:basedOn w:val="Normln"/>
    <w:next w:val="Normln"/>
    <w:link w:val="NzevChar"/>
    <w:uiPriority w:val="10"/>
    <w:qFormat/>
    <w:rsid w:val="004B0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B0A1B"/>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B41B18"/>
    <w:rPr>
      <w:rFonts w:asciiTheme="majorHAnsi" w:eastAsiaTheme="majorEastAsia" w:hAnsiTheme="majorHAnsi" w:cstheme="majorBidi"/>
      <w:b/>
      <w:bCs/>
      <w:color w:val="4F81BD" w:themeColor="accent1"/>
    </w:rPr>
  </w:style>
  <w:style w:type="paragraph" w:styleId="Vrazncitt">
    <w:name w:val="Intense Quote"/>
    <w:basedOn w:val="Normln"/>
    <w:next w:val="Normln"/>
    <w:link w:val="VrazncittChar"/>
    <w:uiPriority w:val="30"/>
    <w:qFormat/>
    <w:rsid w:val="009C1091"/>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C1091"/>
    <w:rPr>
      <w:b/>
      <w:bCs/>
      <w:i/>
      <w:iCs/>
      <w:color w:val="4F81BD" w:themeColor="accent1"/>
    </w:rPr>
  </w:style>
  <w:style w:type="character" w:customStyle="1" w:styleId="Nadpis4Char">
    <w:name w:val="Nadpis 4 Char"/>
    <w:basedOn w:val="Standardnpsmoodstavce"/>
    <w:link w:val="Nadpis4"/>
    <w:uiPriority w:val="9"/>
    <w:rsid w:val="00962A7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58">
      <w:bodyDiv w:val="1"/>
      <w:marLeft w:val="0"/>
      <w:marRight w:val="0"/>
      <w:marTop w:val="0"/>
      <w:marBottom w:val="0"/>
      <w:divBdr>
        <w:top w:val="none" w:sz="0" w:space="0" w:color="auto"/>
        <w:left w:val="none" w:sz="0" w:space="0" w:color="auto"/>
        <w:bottom w:val="none" w:sz="0" w:space="0" w:color="auto"/>
        <w:right w:val="none" w:sz="0" w:space="0" w:color="auto"/>
      </w:divBdr>
    </w:div>
    <w:div w:id="137387286">
      <w:bodyDiv w:val="1"/>
      <w:marLeft w:val="0"/>
      <w:marRight w:val="0"/>
      <w:marTop w:val="0"/>
      <w:marBottom w:val="0"/>
      <w:divBdr>
        <w:top w:val="none" w:sz="0" w:space="0" w:color="auto"/>
        <w:left w:val="none" w:sz="0" w:space="0" w:color="auto"/>
        <w:bottom w:val="none" w:sz="0" w:space="0" w:color="auto"/>
        <w:right w:val="none" w:sz="0" w:space="0" w:color="auto"/>
      </w:divBdr>
    </w:div>
    <w:div w:id="176234259">
      <w:bodyDiv w:val="1"/>
      <w:marLeft w:val="0"/>
      <w:marRight w:val="0"/>
      <w:marTop w:val="0"/>
      <w:marBottom w:val="0"/>
      <w:divBdr>
        <w:top w:val="none" w:sz="0" w:space="0" w:color="auto"/>
        <w:left w:val="none" w:sz="0" w:space="0" w:color="auto"/>
        <w:bottom w:val="none" w:sz="0" w:space="0" w:color="auto"/>
        <w:right w:val="none" w:sz="0" w:space="0" w:color="auto"/>
      </w:divBdr>
    </w:div>
    <w:div w:id="204221419">
      <w:bodyDiv w:val="1"/>
      <w:marLeft w:val="0"/>
      <w:marRight w:val="0"/>
      <w:marTop w:val="0"/>
      <w:marBottom w:val="0"/>
      <w:divBdr>
        <w:top w:val="none" w:sz="0" w:space="0" w:color="auto"/>
        <w:left w:val="none" w:sz="0" w:space="0" w:color="auto"/>
        <w:bottom w:val="none" w:sz="0" w:space="0" w:color="auto"/>
        <w:right w:val="none" w:sz="0" w:space="0" w:color="auto"/>
      </w:divBdr>
    </w:div>
    <w:div w:id="235287907">
      <w:bodyDiv w:val="1"/>
      <w:marLeft w:val="0"/>
      <w:marRight w:val="0"/>
      <w:marTop w:val="0"/>
      <w:marBottom w:val="0"/>
      <w:divBdr>
        <w:top w:val="none" w:sz="0" w:space="0" w:color="auto"/>
        <w:left w:val="none" w:sz="0" w:space="0" w:color="auto"/>
        <w:bottom w:val="none" w:sz="0" w:space="0" w:color="auto"/>
        <w:right w:val="none" w:sz="0" w:space="0" w:color="auto"/>
      </w:divBdr>
    </w:div>
    <w:div w:id="257758241">
      <w:bodyDiv w:val="1"/>
      <w:marLeft w:val="0"/>
      <w:marRight w:val="0"/>
      <w:marTop w:val="0"/>
      <w:marBottom w:val="0"/>
      <w:divBdr>
        <w:top w:val="none" w:sz="0" w:space="0" w:color="auto"/>
        <w:left w:val="none" w:sz="0" w:space="0" w:color="auto"/>
        <w:bottom w:val="none" w:sz="0" w:space="0" w:color="auto"/>
        <w:right w:val="none" w:sz="0" w:space="0" w:color="auto"/>
      </w:divBdr>
    </w:div>
    <w:div w:id="442922948">
      <w:bodyDiv w:val="1"/>
      <w:marLeft w:val="0"/>
      <w:marRight w:val="0"/>
      <w:marTop w:val="0"/>
      <w:marBottom w:val="0"/>
      <w:divBdr>
        <w:top w:val="none" w:sz="0" w:space="0" w:color="auto"/>
        <w:left w:val="none" w:sz="0" w:space="0" w:color="auto"/>
        <w:bottom w:val="none" w:sz="0" w:space="0" w:color="auto"/>
        <w:right w:val="none" w:sz="0" w:space="0" w:color="auto"/>
      </w:divBdr>
    </w:div>
    <w:div w:id="552692894">
      <w:bodyDiv w:val="1"/>
      <w:marLeft w:val="0"/>
      <w:marRight w:val="0"/>
      <w:marTop w:val="0"/>
      <w:marBottom w:val="0"/>
      <w:divBdr>
        <w:top w:val="none" w:sz="0" w:space="0" w:color="auto"/>
        <w:left w:val="none" w:sz="0" w:space="0" w:color="auto"/>
        <w:bottom w:val="none" w:sz="0" w:space="0" w:color="auto"/>
        <w:right w:val="none" w:sz="0" w:space="0" w:color="auto"/>
      </w:divBdr>
    </w:div>
    <w:div w:id="600574674">
      <w:bodyDiv w:val="1"/>
      <w:marLeft w:val="0"/>
      <w:marRight w:val="0"/>
      <w:marTop w:val="0"/>
      <w:marBottom w:val="0"/>
      <w:divBdr>
        <w:top w:val="none" w:sz="0" w:space="0" w:color="auto"/>
        <w:left w:val="none" w:sz="0" w:space="0" w:color="auto"/>
        <w:bottom w:val="none" w:sz="0" w:space="0" w:color="auto"/>
        <w:right w:val="none" w:sz="0" w:space="0" w:color="auto"/>
      </w:divBdr>
    </w:div>
    <w:div w:id="803961422">
      <w:bodyDiv w:val="1"/>
      <w:marLeft w:val="0"/>
      <w:marRight w:val="0"/>
      <w:marTop w:val="0"/>
      <w:marBottom w:val="0"/>
      <w:divBdr>
        <w:top w:val="none" w:sz="0" w:space="0" w:color="auto"/>
        <w:left w:val="none" w:sz="0" w:space="0" w:color="auto"/>
        <w:bottom w:val="none" w:sz="0" w:space="0" w:color="auto"/>
        <w:right w:val="none" w:sz="0" w:space="0" w:color="auto"/>
      </w:divBdr>
    </w:div>
    <w:div w:id="825391464">
      <w:bodyDiv w:val="1"/>
      <w:marLeft w:val="0"/>
      <w:marRight w:val="0"/>
      <w:marTop w:val="0"/>
      <w:marBottom w:val="0"/>
      <w:divBdr>
        <w:top w:val="none" w:sz="0" w:space="0" w:color="auto"/>
        <w:left w:val="none" w:sz="0" w:space="0" w:color="auto"/>
        <w:bottom w:val="none" w:sz="0" w:space="0" w:color="auto"/>
        <w:right w:val="none" w:sz="0" w:space="0" w:color="auto"/>
      </w:divBdr>
    </w:div>
    <w:div w:id="1271358514">
      <w:bodyDiv w:val="1"/>
      <w:marLeft w:val="0"/>
      <w:marRight w:val="0"/>
      <w:marTop w:val="0"/>
      <w:marBottom w:val="0"/>
      <w:divBdr>
        <w:top w:val="none" w:sz="0" w:space="0" w:color="auto"/>
        <w:left w:val="none" w:sz="0" w:space="0" w:color="auto"/>
        <w:bottom w:val="none" w:sz="0" w:space="0" w:color="auto"/>
        <w:right w:val="none" w:sz="0" w:space="0" w:color="auto"/>
      </w:divBdr>
    </w:div>
    <w:div w:id="1310211133">
      <w:bodyDiv w:val="1"/>
      <w:marLeft w:val="0"/>
      <w:marRight w:val="0"/>
      <w:marTop w:val="0"/>
      <w:marBottom w:val="0"/>
      <w:divBdr>
        <w:top w:val="none" w:sz="0" w:space="0" w:color="auto"/>
        <w:left w:val="none" w:sz="0" w:space="0" w:color="auto"/>
        <w:bottom w:val="none" w:sz="0" w:space="0" w:color="auto"/>
        <w:right w:val="none" w:sz="0" w:space="0" w:color="auto"/>
      </w:divBdr>
    </w:div>
    <w:div w:id="1387946368">
      <w:bodyDiv w:val="1"/>
      <w:marLeft w:val="0"/>
      <w:marRight w:val="0"/>
      <w:marTop w:val="0"/>
      <w:marBottom w:val="0"/>
      <w:divBdr>
        <w:top w:val="none" w:sz="0" w:space="0" w:color="auto"/>
        <w:left w:val="none" w:sz="0" w:space="0" w:color="auto"/>
        <w:bottom w:val="none" w:sz="0" w:space="0" w:color="auto"/>
        <w:right w:val="none" w:sz="0" w:space="0" w:color="auto"/>
      </w:divBdr>
    </w:div>
    <w:div w:id="1547372438">
      <w:bodyDiv w:val="1"/>
      <w:marLeft w:val="0"/>
      <w:marRight w:val="0"/>
      <w:marTop w:val="0"/>
      <w:marBottom w:val="0"/>
      <w:divBdr>
        <w:top w:val="none" w:sz="0" w:space="0" w:color="auto"/>
        <w:left w:val="none" w:sz="0" w:space="0" w:color="auto"/>
        <w:bottom w:val="none" w:sz="0" w:space="0" w:color="auto"/>
        <w:right w:val="none" w:sz="0" w:space="0" w:color="auto"/>
      </w:divBdr>
    </w:div>
    <w:div w:id="1570968487">
      <w:bodyDiv w:val="1"/>
      <w:marLeft w:val="0"/>
      <w:marRight w:val="0"/>
      <w:marTop w:val="0"/>
      <w:marBottom w:val="0"/>
      <w:divBdr>
        <w:top w:val="none" w:sz="0" w:space="0" w:color="auto"/>
        <w:left w:val="none" w:sz="0" w:space="0" w:color="auto"/>
        <w:bottom w:val="none" w:sz="0" w:space="0" w:color="auto"/>
        <w:right w:val="none" w:sz="0" w:space="0" w:color="auto"/>
      </w:divBdr>
    </w:div>
    <w:div w:id="1783763976">
      <w:bodyDiv w:val="1"/>
      <w:marLeft w:val="0"/>
      <w:marRight w:val="0"/>
      <w:marTop w:val="0"/>
      <w:marBottom w:val="0"/>
      <w:divBdr>
        <w:top w:val="none" w:sz="0" w:space="0" w:color="auto"/>
        <w:left w:val="none" w:sz="0" w:space="0" w:color="auto"/>
        <w:bottom w:val="none" w:sz="0" w:space="0" w:color="auto"/>
        <w:right w:val="none" w:sz="0" w:space="0" w:color="auto"/>
      </w:divBdr>
    </w:div>
    <w:div w:id="1904557036">
      <w:bodyDiv w:val="1"/>
      <w:marLeft w:val="0"/>
      <w:marRight w:val="0"/>
      <w:marTop w:val="0"/>
      <w:marBottom w:val="0"/>
      <w:divBdr>
        <w:top w:val="none" w:sz="0" w:space="0" w:color="auto"/>
        <w:left w:val="none" w:sz="0" w:space="0" w:color="auto"/>
        <w:bottom w:val="none" w:sz="0" w:space="0" w:color="auto"/>
        <w:right w:val="none" w:sz="0" w:space="0" w:color="auto"/>
      </w:divBdr>
    </w:div>
    <w:div w:id="1913343702">
      <w:bodyDiv w:val="1"/>
      <w:marLeft w:val="0"/>
      <w:marRight w:val="0"/>
      <w:marTop w:val="0"/>
      <w:marBottom w:val="0"/>
      <w:divBdr>
        <w:top w:val="none" w:sz="0" w:space="0" w:color="auto"/>
        <w:left w:val="none" w:sz="0" w:space="0" w:color="auto"/>
        <w:bottom w:val="none" w:sz="0" w:space="0" w:color="auto"/>
        <w:right w:val="none" w:sz="0" w:space="0" w:color="auto"/>
      </w:divBdr>
    </w:div>
    <w:div w:id="1956134235">
      <w:bodyDiv w:val="1"/>
      <w:marLeft w:val="0"/>
      <w:marRight w:val="0"/>
      <w:marTop w:val="0"/>
      <w:marBottom w:val="0"/>
      <w:divBdr>
        <w:top w:val="none" w:sz="0" w:space="0" w:color="auto"/>
        <w:left w:val="none" w:sz="0" w:space="0" w:color="auto"/>
        <w:bottom w:val="none" w:sz="0" w:space="0" w:color="auto"/>
        <w:right w:val="none" w:sz="0" w:space="0" w:color="auto"/>
      </w:divBdr>
    </w:div>
    <w:div w:id="2075741764">
      <w:bodyDiv w:val="1"/>
      <w:marLeft w:val="0"/>
      <w:marRight w:val="0"/>
      <w:marTop w:val="0"/>
      <w:marBottom w:val="0"/>
      <w:divBdr>
        <w:top w:val="none" w:sz="0" w:space="0" w:color="auto"/>
        <w:left w:val="none" w:sz="0" w:space="0" w:color="auto"/>
        <w:bottom w:val="none" w:sz="0" w:space="0" w:color="auto"/>
        <w:right w:val="none" w:sz="0" w:space="0" w:color="auto"/>
      </w:divBdr>
    </w:div>
    <w:div w:id="2110156791">
      <w:bodyDiv w:val="1"/>
      <w:marLeft w:val="0"/>
      <w:marRight w:val="0"/>
      <w:marTop w:val="0"/>
      <w:marBottom w:val="0"/>
      <w:divBdr>
        <w:top w:val="none" w:sz="0" w:space="0" w:color="auto"/>
        <w:left w:val="none" w:sz="0" w:space="0" w:color="auto"/>
        <w:bottom w:val="none" w:sz="0" w:space="0" w:color="auto"/>
        <w:right w:val="none" w:sz="0" w:space="0" w:color="auto"/>
      </w:divBdr>
    </w:div>
    <w:div w:id="21117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magojr.com/" TargetMode="External"/><Relationship Id="rId5" Type="http://schemas.openxmlformats.org/officeDocument/2006/relationships/hyperlink" Target="https://jcr.incites.thomsonreuters.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1925</Words>
  <Characters>11363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UTB,FAI</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Chramcov</dc:creator>
  <cp:lastModifiedBy>Bronislav Chramcov</cp:lastModifiedBy>
  <cp:revision>3</cp:revision>
  <cp:lastPrinted>2015-08-24T14:20:00Z</cp:lastPrinted>
  <dcterms:created xsi:type="dcterms:W3CDTF">2019-08-20T08:40:00Z</dcterms:created>
  <dcterms:modified xsi:type="dcterms:W3CDTF">2019-08-20T08:46:00Z</dcterms:modified>
</cp:coreProperties>
</file>